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theme/theme1.xml" ContentType="application/vnd.openxmlformats-officedocument.theme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footer8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pBdr/>
        <w:shd w:fill="FFFFFF" w:val="clear"/>
        <w:kinsoku w:val="true"/>
        <w:overflowPunct w:val="true"/>
        <w:autoSpaceDE w:val="true"/>
        <w:bidi w:val="0"/>
        <w:snapToGrid w:val="true"/>
        <w:spacing w:lineRule="exact" w:line="600"/>
        <w:ind w:left="0" w:hanging="0" w:right="0"/>
        <w:jc w:val="center"/>
        <w:textAlignment w:val="auto"/>
        <w:outlineLvl w:val="0"/>
        <w:rPr>
          <w:rFonts w:ascii="Times New Roman" w:hAnsi="Times New Roman" w:eastAsia="方正小标宋简体" w:cs="Times New Roman"/>
          <w:b w:val="false"/>
          <w:bCs w:val="false"/>
          <w:color w:val="000000"/>
          <w:kern w:val="2"/>
          <w:sz w:val="44"/>
          <w:szCs w:val="36"/>
          <w:lang w:val="en-US" w:eastAsia="zh-CN" w:bidi="ar"/>
        </w:rPr>
      </w:pPr>
      <w:r>
        <w:rPr>
          <w:rFonts w:ascii="Times New Roman" w:hAnsi="Times New Roman" w:cs="Times New Roman" w:eastAsia="方正小标宋简体"/>
          <w:b w:val="false"/>
          <w:bCs w:val="false"/>
          <w:color w:val="000000"/>
          <w:kern w:val="2"/>
          <w:sz w:val="44"/>
          <w:szCs w:val="36"/>
          <w:lang w:val="en-US" w:eastAsia="zh-CN" w:bidi="ar"/>
        </w:rPr>
        <w:t>浙江省</w:t>
      </w:r>
      <w:r>
        <w:rPr>
          <w:rFonts w:ascii="Times New Roman" w:hAnsi="Times New Roman" w:cs="Times New Roman" w:eastAsia="方正小标宋简体"/>
          <w:b w:val="false"/>
          <w:bCs w:val="false"/>
          <w:color w:val="000000"/>
          <w:kern w:val="2"/>
          <w:sz w:val="44"/>
          <w:szCs w:val="36"/>
          <w:lang w:val="en-US" w:eastAsia="zh-CN" w:bidi="ar"/>
        </w:rPr>
        <w:t>零碳（</w:t>
      </w:r>
      <w:r>
        <w:rPr>
          <w:rFonts w:ascii="Times New Roman" w:hAnsi="Times New Roman" w:cs="Times New Roman" w:eastAsia="方正小标宋简体"/>
          <w:b w:val="false"/>
          <w:bCs w:val="false"/>
          <w:color w:val="000000"/>
          <w:kern w:val="2"/>
          <w:sz w:val="44"/>
          <w:szCs w:val="36"/>
          <w:lang w:val="en-US" w:eastAsia="zh-CN" w:bidi="ar"/>
        </w:rPr>
        <w:t>近零碳）工厂</w:t>
      </w:r>
      <w:r>
        <w:rPr>
          <w:rFonts w:ascii="Times New Roman" w:hAnsi="Times New Roman" w:cs="Times New Roman" w:eastAsia="方正小标宋简体"/>
          <w:b w:val="false"/>
          <w:bCs w:val="false"/>
          <w:color w:val="000000"/>
          <w:kern w:val="2"/>
          <w:sz w:val="44"/>
          <w:szCs w:val="36"/>
          <w:lang w:val="en-US" w:eastAsia="zh-CN" w:bidi="ar"/>
        </w:rPr>
        <w:t>培育建设</w:t>
      </w:r>
      <w:r>
        <w:rPr>
          <w:rFonts w:ascii="Times New Roman" w:hAnsi="Times New Roman" w:cs="Times New Roman" w:eastAsia="方正小标宋简体"/>
          <w:b w:val="false"/>
          <w:bCs w:val="false"/>
          <w:color w:val="000000"/>
          <w:kern w:val="2"/>
          <w:sz w:val="44"/>
          <w:szCs w:val="36"/>
          <w:lang w:val="en-US" w:eastAsia="zh-CN" w:bidi="ar"/>
        </w:rPr>
        <w:t>方案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pBdr/>
        <w:shd w:fill="FFFFFF" w:val="clear"/>
        <w:kinsoku w:val="true"/>
        <w:overflowPunct w:val="true"/>
        <w:autoSpaceDE w:val="true"/>
        <w:bidi w:val="0"/>
        <w:snapToGrid w:val="true"/>
        <w:spacing w:lineRule="exact" w:line="600"/>
        <w:ind w:left="0" w:hanging="0" w:right="0"/>
        <w:jc w:val="center"/>
        <w:textAlignment w:val="auto"/>
        <w:outlineLvl w:val="0"/>
        <w:rPr>
          <w:rFonts w:ascii="Times New Roman" w:hAnsi="Times New Roman" w:eastAsia="楷体_GB2312;楷体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cs="Times New Roman" w:eastAsia="方正小标宋简体"/>
          <w:b w:val="false"/>
          <w:bCs w:val="false"/>
          <w:color w:val="000000"/>
          <w:kern w:val="2"/>
          <w:sz w:val="44"/>
          <w:szCs w:val="36"/>
          <w:lang w:val="en-US" w:eastAsia="zh-CN" w:bidi="ar"/>
        </w:rPr>
        <w:t>（</w:t>
      </w:r>
      <w:r>
        <w:rPr>
          <w:rFonts w:eastAsia="方正小标宋简体" w:cs="Times New Roman"/>
          <w:b w:val="false"/>
          <w:bCs w:val="false"/>
          <w:color w:val="000000"/>
          <w:kern w:val="2"/>
          <w:sz w:val="44"/>
          <w:szCs w:val="36"/>
          <w:lang w:val="en-US" w:eastAsia="zh-CN" w:bidi="ar"/>
        </w:rPr>
        <w:t>2025</w:t>
      </w:r>
      <w:r>
        <w:rPr>
          <w:rFonts w:eastAsia="方正小标宋简体" w:cs="方正小标宋简体" w:ascii="方正小标宋简体" w:hAnsi="方正小标宋简体"/>
          <w:b w:val="false"/>
          <w:bCs w:val="false"/>
          <w:color w:val="000000"/>
          <w:kern w:val="2"/>
          <w:sz w:val="44"/>
          <w:szCs w:val="36"/>
          <w:lang w:val="en-US" w:eastAsia="zh-CN" w:bidi="ar"/>
        </w:rPr>
        <w:t>—</w:t>
      </w:r>
      <w:r>
        <w:rPr>
          <w:rFonts w:eastAsia="方正小标宋简体" w:cs="Times New Roman"/>
          <w:b w:val="false"/>
          <w:bCs w:val="false"/>
          <w:color w:val="000000"/>
          <w:kern w:val="2"/>
          <w:sz w:val="44"/>
          <w:szCs w:val="36"/>
          <w:lang w:val="en-US" w:eastAsia="zh-CN" w:bidi="ar"/>
        </w:rPr>
        <w:t>2027</w:t>
      </w:r>
      <w:r>
        <w:rPr>
          <w:rFonts w:ascii="Times New Roman" w:hAnsi="Times New Roman" w:cs="Times New Roman" w:eastAsia="方正小标宋简体"/>
          <w:b w:val="false"/>
          <w:bCs w:val="false"/>
          <w:color w:val="000000"/>
          <w:kern w:val="2"/>
          <w:sz w:val="44"/>
          <w:szCs w:val="36"/>
          <w:lang w:val="en-US" w:eastAsia="zh-CN" w:bidi="ar"/>
        </w:rPr>
        <w:t>年）</w:t>
      </w:r>
    </w:p>
    <w:p>
      <w:pPr>
        <w:pStyle w:val="Normal"/>
        <w:keepNext w:val="false"/>
        <w:keepLines w:val="false"/>
        <w:pageBreakBefore w:val="false"/>
        <w:kinsoku w:val="true"/>
        <w:overflowPunct w:val="true"/>
        <w:autoSpaceDE w:val="true"/>
        <w:bidi w:val="0"/>
        <w:snapToGrid w:val="false"/>
        <w:spacing w:lineRule="exact" w:line="600"/>
        <w:ind w:hanging="0" w:right="0"/>
        <w:jc w:val="center"/>
        <w:textAlignment w:val="auto"/>
        <w:rPr>
          <w:rFonts w:ascii="Times New Roman" w:hAnsi="Times New Roman" w:eastAsia="楷体_GB2312;楷体" w:cs="Times New Roman"/>
          <w:color w:val="000000"/>
          <w:sz w:val="32"/>
          <w:szCs w:val="32"/>
          <w:lang w:val="en-US" w:eastAsia="zh-CN"/>
        </w:rPr>
      </w:pPr>
      <w:r>
        <w:rPr>
          <w:rFonts w:eastAsia="楷体_GB2312;楷体" w:cs="Times New Roman"/>
          <w:color w:val="000000"/>
          <w:sz w:val="32"/>
          <w:szCs w:val="32"/>
          <w:lang w:val="en-US" w:eastAsia="zh-CN"/>
        </w:rPr>
      </w:r>
    </w:p>
    <w:p>
      <w:pPr>
        <w:pStyle w:val="Normal"/>
        <w:keepNext w:val="false"/>
        <w:keepLines w:val="false"/>
        <w:pageBreakBefore w:val="false"/>
        <w:kinsoku w:val="true"/>
        <w:overflowPunct w:val="true"/>
        <w:autoSpaceDE w:val="true"/>
        <w:bidi w:val="0"/>
        <w:snapToGrid w:val="false"/>
        <w:spacing w:lineRule="exact" w:line="600"/>
        <w:ind w:firstLine="640" w:right="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ascii="Times New Roman" w:hAnsi="Times New Roman" w:cs="Times New Roman"/>
          <w:i w:val="false"/>
          <w:iCs w:val="false"/>
          <w:caps w:val="false"/>
          <w:smallCaps w:val="false"/>
          <w:color w:val="000000"/>
          <w:spacing w:val="0"/>
          <w:sz w:val="32"/>
          <w:szCs w:val="32"/>
          <w:shd w:fill="auto" w:val="clear"/>
          <w:lang w:val="en-US" w:eastAsia="zh-CN"/>
        </w:rPr>
        <w:t>为深入</w:t>
      </w:r>
      <w:r>
        <w:rPr>
          <w:rFonts w:cs="Times New Roman"/>
          <w:i w:val="false"/>
          <w:iCs w:val="false"/>
          <w:caps w:val="false"/>
          <w:smallCaps w:val="false"/>
          <w:color w:val="000000"/>
          <w:spacing w:val="0"/>
          <w:sz w:val="32"/>
          <w:szCs w:val="32"/>
          <w:shd w:fill="auto" w:val="clear"/>
          <w:lang w:val="en-US" w:eastAsia="zh-CN"/>
        </w:rPr>
        <w:t>贯彻习近平生态文明思想，认真落实中央加快经济社会发展全面绿色转型战略部署和省委、省政府推动绿色低碳发展、建设更高水平生态省相关要</w:t>
      </w:r>
      <w:r>
        <w:rPr>
          <w:rFonts w:ascii="Times New Roman" w:hAnsi="Times New Roman" w:cs="Times New Roman"/>
          <w:i w:val="false"/>
          <w:iCs w:val="false"/>
          <w:caps w:val="false"/>
          <w:smallCaps w:val="false"/>
          <w:color w:val="000000"/>
          <w:spacing w:val="0"/>
          <w:sz w:val="32"/>
          <w:szCs w:val="32"/>
          <w:shd w:fill="auto" w:val="clear"/>
          <w:lang w:val="en-US" w:eastAsia="zh-CN"/>
        </w:rPr>
        <w:t>求，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lang w:val="en-US" w:eastAsia="zh-CN" w:bidi="ar"/>
        </w:rPr>
        <w:t>以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lang w:val="en-US" w:eastAsia="zh-CN" w:bidi="ar"/>
        </w:rPr>
        <w:t>实现工业领域碳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lang w:val="en-US" w:eastAsia="zh-CN" w:bidi="ar"/>
        </w:rPr>
        <w:t>达峰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lang w:val="en-US" w:eastAsia="zh-CN" w:bidi="ar"/>
        </w:rPr>
        <w:t>碳中和目标、培育新质生产力为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lang w:val="en-US" w:eastAsia="zh-CN" w:bidi="ar"/>
        </w:rPr>
        <w:t>引领，</w:t>
      </w:r>
      <w:r>
        <w:rPr>
          <w:rFonts w:ascii="Times New Roman" w:hAnsi="Times New Roman" w:cs="Times New Roman"/>
          <w:color w:val="000000"/>
          <w:sz w:val="32"/>
          <w:szCs w:val="32"/>
        </w:rPr>
        <w:t>鼓励支持</w:t>
      </w:r>
      <w:r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  <w:t>绿色（低碳）工厂</w:t>
      </w:r>
      <w:r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  <w:t>深</w:t>
      </w:r>
      <w:r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  <w:t>挖节能降碳潜力，积极建设零碳（近零碳）工厂，</w:t>
      </w:r>
      <w:r>
        <w:rPr>
          <w:rFonts w:ascii="Times New Roman" w:hAnsi="Times New Roman" w:cs="Times New Roman"/>
          <w:color w:val="000000"/>
          <w:sz w:val="32"/>
          <w:szCs w:val="32"/>
          <w:lang w:eastAsia="zh-CN"/>
        </w:rPr>
        <w:t>特</w:t>
      </w:r>
      <w:r>
        <w:rPr>
          <w:rFonts w:ascii="Times New Roman" w:hAnsi="Times New Roman" w:cs="Times New Roman"/>
          <w:color w:val="000000"/>
          <w:sz w:val="32"/>
          <w:szCs w:val="32"/>
        </w:rPr>
        <w:t>制定本方案。</w:t>
      </w:r>
    </w:p>
    <w:p>
      <w:pPr>
        <w:pStyle w:val="Normal"/>
        <w:keepNext w:val="false"/>
        <w:keepLines w:val="false"/>
        <w:pageBreakBefore w:val="false"/>
        <w:kinsoku w:val="true"/>
        <w:overflowPunct w:val="true"/>
        <w:autoSpaceDE w:val="true"/>
        <w:bidi w:val="0"/>
        <w:snapToGrid w:val="false"/>
        <w:spacing w:lineRule="exact" w:line="600"/>
        <w:ind w:firstLine="640" w:right="0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  <w:shd w:fill="FFFFFF" w:val="clear"/>
        </w:rPr>
      </w:pPr>
      <w:r>
        <w:rPr>
          <w:rFonts w:ascii="Times New Roman" w:hAnsi="Times New Roman" w:cs="Times New Roman" w:eastAsia="黑体"/>
          <w:color w:val="000000"/>
          <w:sz w:val="32"/>
          <w:szCs w:val="32"/>
          <w:shd w:fill="FFFFFF" w:val="clear"/>
        </w:rPr>
        <w:t>一、工作目标</w:t>
      </w:r>
    </w:p>
    <w:p>
      <w:pPr>
        <w:pStyle w:val="Normal"/>
        <w:keepNext w:val="false"/>
        <w:keepLines w:val="false"/>
        <w:pageBreakBefore w:val="false"/>
        <w:widowControl/>
        <w:suppressLineNumbers w:val="0"/>
        <w:kinsoku w:val="true"/>
        <w:overflowPunct w:val="true"/>
        <w:autoSpaceDE w:val="true"/>
        <w:bidi w:val="0"/>
        <w:spacing w:lineRule="exact" w:line="600"/>
        <w:ind w:firstLine="640" w:right="0"/>
        <w:jc w:val="both"/>
        <w:textAlignment w:val="auto"/>
        <w:rPr>
          <w:rFonts w:ascii="Times New Roman" w:hAnsi="Times New Roman" w:eastAsia="仿宋_GB2312" w:cs="Times New Roman"/>
          <w:color w:val="000000"/>
          <w:spacing w:val="-4"/>
          <w:sz w:val="32"/>
          <w:szCs w:val="32"/>
          <w:lang w:val="en-US" w:eastAsia="zh-CN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  <w:t>聚焦七大重点行业及新材料、新能源、高端装备等领域，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lang w:val="en-US" w:eastAsia="zh-CN" w:bidi="ar"/>
        </w:rPr>
        <w:t>按照“申报一批、培育一批、认定一批”方式，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  <w:lang w:val="en-US" w:eastAsia="zh-CN"/>
        </w:rPr>
        <w:t>鼓励</w:t>
      </w:r>
      <w:r>
        <w:rPr>
          <w:rFonts w:ascii="Times New Roman" w:hAnsi="Times New Roman" w:cs="Times New Roman"/>
          <w:spacing w:val="-4"/>
          <w:sz w:val="32"/>
          <w:szCs w:val="32"/>
          <w:lang w:val="en-US" w:eastAsia="zh-CN"/>
        </w:rPr>
        <w:t>省级以上绿色</w:t>
      </w:r>
      <w:r>
        <w:rPr>
          <w:rFonts w:ascii="Times New Roman" w:hAnsi="Times New Roman" w:cs="Times New Roman"/>
          <w:spacing w:val="-4"/>
          <w:sz w:val="32"/>
          <w:szCs w:val="32"/>
          <w:lang w:val="en-US" w:eastAsia="zh-CN"/>
        </w:rPr>
        <w:t>（</w:t>
      </w:r>
      <w:r>
        <w:rPr>
          <w:rFonts w:ascii="Times New Roman" w:hAnsi="Times New Roman" w:cs="Times New Roman"/>
          <w:spacing w:val="-4"/>
          <w:sz w:val="32"/>
          <w:szCs w:val="32"/>
          <w:lang w:val="en-US" w:eastAsia="zh-CN"/>
        </w:rPr>
        <w:t>低碳</w:t>
      </w:r>
      <w:r>
        <w:rPr>
          <w:rFonts w:ascii="Times New Roman" w:hAnsi="Times New Roman" w:cs="Times New Roman"/>
          <w:spacing w:val="-4"/>
          <w:sz w:val="32"/>
          <w:szCs w:val="32"/>
          <w:lang w:val="en-US" w:eastAsia="zh-CN"/>
        </w:rPr>
        <w:t>）</w:t>
      </w:r>
      <w:r>
        <w:rPr>
          <w:rFonts w:ascii="Times New Roman" w:hAnsi="Times New Roman" w:cs="Times New Roman"/>
          <w:spacing w:val="-4"/>
          <w:sz w:val="32"/>
          <w:szCs w:val="32"/>
          <w:lang w:val="en-US" w:eastAsia="zh-CN"/>
        </w:rPr>
        <w:t>工厂先行先试，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  <w:lang w:eastAsia="zh-CN"/>
        </w:rPr>
        <w:t>全省每年</w:t>
      </w:r>
      <w:r>
        <w:rPr>
          <w:rFonts w:cs="Times New Roman"/>
          <w:color w:val="000000"/>
          <w:spacing w:val="-4"/>
          <w:sz w:val="32"/>
          <w:szCs w:val="32"/>
          <w:lang w:eastAsia="zh-CN"/>
        </w:rPr>
        <w:t>精心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  <w:lang w:eastAsia="zh-CN"/>
        </w:rPr>
        <w:t>择优遴选</w:t>
      </w:r>
      <w:r>
        <w:rPr>
          <w:rFonts w:eastAsia="仿宋_GB2312" w:cs="Times New Roman"/>
          <w:color w:val="000000"/>
          <w:spacing w:val="-4"/>
          <w:sz w:val="32"/>
          <w:szCs w:val="32"/>
          <w:lang w:val="en-US" w:eastAsia="zh-CN"/>
        </w:rPr>
        <w:t>10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  <w:lang w:val="en-US" w:eastAsia="zh-CN"/>
        </w:rPr>
        <w:t>家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  <w:lang w:val="en-US" w:eastAsia="zh-CN"/>
        </w:rPr>
        <w:t>左右开展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零碳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  <w:lang w:eastAsia="zh-CN"/>
        </w:rPr>
        <w:t>（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近零碳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  <w:lang w:eastAsia="zh-CN"/>
        </w:rPr>
        <w:t>）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  <w:lang w:val="en-US" w:eastAsia="zh-CN"/>
        </w:rPr>
        <w:t>工厂</w:t>
      </w:r>
      <w:r>
        <w:rPr>
          <w:rFonts w:ascii="Times New Roman" w:hAnsi="Times New Roman" w:cs="Times New Roman"/>
          <w:spacing w:val="-4"/>
          <w:sz w:val="32"/>
          <w:szCs w:val="32"/>
          <w:lang w:val="en-US" w:eastAsia="zh-CN"/>
        </w:rPr>
        <w:t>培育建设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  <w:lang w:val="en-US" w:eastAsia="zh-CN"/>
        </w:rPr>
        <w:t>，支持推动企业</w:t>
      </w:r>
      <w:r>
        <w:rPr>
          <w:rFonts w:ascii="Times New Roman" w:hAnsi="Times New Roman" w:cs="Times New Roman"/>
          <w:spacing w:val="-4"/>
          <w:sz w:val="32"/>
          <w:szCs w:val="32"/>
          <w:lang w:val="en-US" w:eastAsia="zh-CN"/>
        </w:rPr>
        <w:t>在自主减碳路径、场景打造、技术应用、数智赋能等方面大胆探索创新，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  <w:lang w:val="en-US" w:eastAsia="zh-CN"/>
        </w:rPr>
        <w:t>通过</w:t>
      </w:r>
      <w:r>
        <w:rPr>
          <w:rFonts w:eastAsia="仿宋_GB2312" w:cs="Times New Roman"/>
          <w:color w:val="000000"/>
          <w:spacing w:val="-4"/>
          <w:sz w:val="32"/>
          <w:szCs w:val="32"/>
          <w:lang w:val="en-US" w:eastAsia="zh-CN"/>
        </w:rPr>
        <w:t>2</w:t>
      </w:r>
      <w:r>
        <w:rPr>
          <w:rFonts w:eastAsia="仿宋_GB2312" w:cs="仿宋_GB2312" w:ascii="仿宋_GB2312" w:hAnsi="仿宋_GB2312"/>
          <w:color w:val="000000"/>
          <w:spacing w:val="-4"/>
          <w:sz w:val="32"/>
          <w:szCs w:val="32"/>
          <w:lang w:val="en-US" w:eastAsia="zh-CN"/>
        </w:rPr>
        <w:t>—</w:t>
      </w:r>
      <w:r>
        <w:rPr>
          <w:rFonts w:eastAsia="仿宋_GB2312" w:cs="Times New Roman"/>
          <w:color w:val="000000"/>
          <w:spacing w:val="-4"/>
          <w:sz w:val="32"/>
          <w:szCs w:val="32"/>
          <w:lang w:val="en-US" w:eastAsia="zh-CN"/>
        </w:rPr>
        <w:t>3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  <w:lang w:val="en-US" w:eastAsia="zh-CN"/>
        </w:rPr>
        <w:t>年培育建设，打造一批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零碳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  <w:lang w:eastAsia="zh-CN"/>
        </w:rPr>
        <w:t>（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近零碳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  <w:lang w:eastAsia="zh-CN"/>
        </w:rPr>
        <w:t>）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  <w:lang w:val="en-US" w:eastAsia="zh-CN"/>
        </w:rPr>
        <w:t>工厂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  <w:lang w:val="en-US" w:eastAsia="zh-CN"/>
        </w:rPr>
        <w:t>，形成可复制、可推广的经验和模式。</w:t>
      </w:r>
    </w:p>
    <w:p>
      <w:pPr>
        <w:pStyle w:val="Normal"/>
        <w:snapToGrid w:val="false"/>
        <w:spacing w:lineRule="exact" w:line="600"/>
        <w:ind w:firstLine="640" w:right="0"/>
        <w:jc w:val="left"/>
        <w:rPr>
          <w:rFonts w:ascii="Times New Roman" w:hAnsi="Times New Roman" w:eastAsia="黑体" w:cs="Times New Roman"/>
          <w:color w:val="000000"/>
          <w:sz w:val="32"/>
          <w:szCs w:val="32"/>
          <w:highlight w:val="none"/>
          <w:shd w:fill="FFFFFF" w:val="clear"/>
          <w:lang w:val="en-US" w:eastAsia="zh-CN" w:bidi="ar-SA"/>
        </w:rPr>
      </w:pPr>
      <w:r>
        <w:rPr>
          <w:rFonts w:ascii="Times New Roman" w:hAnsi="Times New Roman" w:cs="Times New Roman" w:eastAsia="黑体"/>
          <w:color w:val="000000"/>
          <w:sz w:val="32"/>
          <w:szCs w:val="32"/>
          <w:shd w:fill="FFFFFF" w:val="clear"/>
          <w:lang w:val="en-US" w:eastAsia="zh-CN" w:bidi="ar-SA"/>
        </w:rPr>
        <w:t>二</w:t>
      </w:r>
      <w:r>
        <w:rPr>
          <w:rFonts w:ascii="Times New Roman" w:hAnsi="Times New Roman" w:cs="Times New Roman" w:eastAsia="黑体"/>
          <w:color w:val="000000"/>
          <w:sz w:val="32"/>
          <w:szCs w:val="32"/>
          <w:shd w:fill="FFFFFF" w:val="clear"/>
          <w:lang w:val="en-US" w:eastAsia="zh-CN" w:bidi="ar-SA"/>
        </w:rPr>
        <w:t>、</w:t>
      </w:r>
      <w:r>
        <w:rPr>
          <w:rFonts w:ascii="Times New Roman" w:hAnsi="Times New Roman" w:cs="Times New Roman" w:eastAsia="黑体"/>
          <w:color w:val="000000"/>
          <w:sz w:val="32"/>
          <w:szCs w:val="32"/>
          <w:shd w:fill="FFFFFF" w:val="clear"/>
          <w:lang w:val="en-US" w:eastAsia="zh-CN" w:bidi="ar-SA"/>
        </w:rPr>
        <w:t>培育建设</w:t>
      </w:r>
      <w:r>
        <w:rPr>
          <w:rFonts w:ascii="Times New Roman" w:hAnsi="Times New Roman" w:cs="Times New Roman" w:eastAsia="黑体"/>
          <w:color w:val="000000"/>
          <w:sz w:val="32"/>
          <w:szCs w:val="32"/>
          <w:shd w:fill="FFFFFF" w:val="clear"/>
          <w:lang w:val="en-US" w:eastAsia="zh-CN" w:bidi="ar-SA"/>
        </w:rPr>
        <w:t>程序</w:t>
      </w:r>
    </w:p>
    <w:p>
      <w:pPr>
        <w:pStyle w:val="Normal"/>
        <w:keepNext w:val="false"/>
        <w:keepLines w:val="false"/>
        <w:pageBreakBefore w:val="false"/>
        <w:widowControl/>
        <w:suppressLineNumbers w:val="0"/>
        <w:kinsoku w:val="true"/>
        <w:overflowPunct w:val="true"/>
        <w:autoSpaceDE w:val="true"/>
        <w:bidi w:val="0"/>
        <w:spacing w:lineRule="exact" w:line="600"/>
        <w:ind w:firstLine="640" w:right="0"/>
        <w:jc w:val="both"/>
        <w:textAlignment w:val="auto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fill="auto" w:val="clear"/>
          <w:lang w:val="en-US" w:eastAsia="zh-CN" w:bidi="ar-SA"/>
        </w:rPr>
      </w:pPr>
      <w:r>
        <w:rPr>
          <w:rFonts w:ascii="Times New Roman" w:hAnsi="Times New Roman" w:cs="Times New Roman" w:eastAsia="楷体_GB2312;楷体"/>
          <w:b w:val="false"/>
          <w:bCs w:val="false"/>
          <w:color w:val="000000"/>
          <w:kern w:val="2"/>
          <w:sz w:val="32"/>
          <w:szCs w:val="32"/>
          <w:shd w:fill="FFFFFF" w:val="clear"/>
          <w:lang w:val="en-US" w:eastAsia="zh-CN" w:bidi="ar-SA"/>
        </w:rPr>
        <w:t>（一）</w:t>
      </w:r>
      <w:r>
        <w:rPr>
          <w:rFonts w:ascii="Times New Roman" w:hAnsi="Times New Roman" w:cs="Times New Roman" w:eastAsia="楷体_GB2312;楷体"/>
          <w:b w:val="false"/>
          <w:bCs w:val="false"/>
          <w:color w:val="000000"/>
          <w:kern w:val="2"/>
          <w:sz w:val="32"/>
          <w:szCs w:val="32"/>
          <w:shd w:fill="FFFFFF" w:val="clear"/>
          <w:lang w:val="en-US" w:eastAsia="zh-CN" w:bidi="ar-SA"/>
        </w:rPr>
        <w:t>组织申报推荐</w:t>
      </w:r>
      <w:r>
        <w:rPr>
          <w:rFonts w:ascii="Times New Roman" w:hAnsi="Times New Roman" w:cs="Times New Roman" w:eastAsia="楷体_GB2312;楷体"/>
          <w:b w:val="false"/>
          <w:bCs w:val="false"/>
          <w:color w:val="000000"/>
          <w:kern w:val="2"/>
          <w:sz w:val="32"/>
          <w:szCs w:val="32"/>
          <w:shd w:fill="FFFFFF" w:val="clear"/>
          <w:lang w:val="en-US" w:eastAsia="zh-CN" w:bidi="ar-SA"/>
        </w:rPr>
        <w:t>。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shd w:fill="auto" w:val="clear"/>
          <w:lang w:val="en-US" w:eastAsia="zh-CN" w:bidi="ar-SA"/>
        </w:rPr>
        <w:t>各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shd w:fill="auto" w:val="clear"/>
          <w:lang w:val="en-US" w:eastAsia="zh-CN" w:bidi="ar-SA"/>
        </w:rPr>
        <w:t>县（市、区）经信部门聚焦本地特色产业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shd w:fill="auto" w:val="clear"/>
          <w:lang w:val="en" w:eastAsia="zh-CN" w:bidi="ar-SA"/>
        </w:rPr>
        <w:t>，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shd w:fill="auto" w:val="clear"/>
          <w:lang w:val="en-US" w:eastAsia="zh-CN" w:bidi="ar-SA"/>
        </w:rPr>
        <w:t>积极发动绿色低碳基础扎实、转型升级路径清晰、示范带动作用明显的省级以上绿色</w:t>
      </w:r>
      <w:r>
        <w:rPr>
          <w:rFonts w:cs="Times New Roman"/>
          <w:color w:val="000000"/>
          <w:kern w:val="2"/>
          <w:sz w:val="32"/>
          <w:szCs w:val="32"/>
          <w:shd w:fill="auto" w:val="clear"/>
          <w:lang w:val="en-US" w:eastAsia="zh-CN" w:bidi="ar-SA"/>
        </w:rPr>
        <w:t>（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shd w:fill="auto" w:val="clear"/>
          <w:lang w:val="en-US" w:eastAsia="zh-CN" w:bidi="ar-SA"/>
        </w:rPr>
        <w:t>低碳</w:t>
      </w:r>
      <w:r>
        <w:rPr>
          <w:rFonts w:cs="Times New Roman"/>
          <w:color w:val="000000"/>
          <w:kern w:val="2"/>
          <w:sz w:val="32"/>
          <w:szCs w:val="32"/>
          <w:shd w:fill="auto" w:val="clear"/>
          <w:lang w:val="en-US" w:eastAsia="zh-CN" w:bidi="ar-SA"/>
        </w:rPr>
        <w:t>）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shd w:fill="auto" w:val="clear"/>
          <w:lang w:val="en-US" w:eastAsia="zh-CN" w:bidi="ar-SA"/>
        </w:rPr>
        <w:t>工厂开展零碳（近零碳）工厂建设。</w:t>
      </w:r>
      <w:r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  <w:t>申请建设的企业对照培育建设评价要求开展自我评价（附件</w:t>
      </w:r>
      <w:r>
        <w:rPr>
          <w:rFonts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  <w:t>），并编制</w:t>
      </w:r>
      <w:r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  <w:t>零碳（近零碳）工厂</w:t>
      </w:r>
      <w:r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  <w:t>建设</w:t>
      </w:r>
      <w:r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  <w:t>方案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shd w:fill="auto" w:val="clear"/>
          <w:lang w:val="en-US" w:eastAsia="zh-CN" w:bidi="ar-SA"/>
        </w:rPr>
        <w:t>（附件</w:t>
      </w:r>
      <w:r>
        <w:rPr>
          <w:rFonts w:eastAsia="仿宋_GB2312" w:cs="Times New Roman"/>
          <w:color w:val="000000"/>
          <w:kern w:val="2"/>
          <w:sz w:val="32"/>
          <w:szCs w:val="32"/>
          <w:shd w:fill="auto" w:val="clear"/>
          <w:lang w:val="en-US" w:eastAsia="zh-CN" w:bidi="ar-SA"/>
        </w:rPr>
        <w:t>2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shd w:fill="auto" w:val="clear"/>
          <w:lang w:val="en-US" w:eastAsia="zh-CN" w:bidi="ar-SA"/>
        </w:rPr>
        <w:t>）</w:t>
      </w:r>
      <w:r>
        <w:rPr>
          <w:rFonts w:ascii="Times New Roman" w:hAnsi="Times New Roman" w:cs="Times New Roman"/>
          <w:sz w:val="32"/>
          <w:szCs w:val="32"/>
          <w:lang w:val="en-US" w:eastAsia="zh-CN"/>
        </w:rPr>
        <w:t>。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shd w:fill="auto" w:val="clear"/>
          <w:lang w:val="en-US" w:eastAsia="zh-CN" w:bidi="ar-SA"/>
        </w:rPr>
        <w:t>各设区市经信局对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shd w:fill="auto" w:val="clear"/>
          <w:lang w:val="en-US" w:eastAsia="zh-CN" w:bidi="ar-SA"/>
        </w:rPr>
        <w:t>辖区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shd w:fill="auto" w:val="clear"/>
          <w:lang w:val="en-US" w:eastAsia="zh-CN" w:bidi="ar-SA"/>
        </w:rPr>
        <w:t>申报企业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shd w:fill="auto" w:val="clear"/>
          <w:lang w:val="en-US" w:eastAsia="zh-CN" w:bidi="ar-SA"/>
        </w:rPr>
        <w:t>的建设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shd w:fill="auto" w:val="clear"/>
          <w:lang w:val="en-US" w:eastAsia="zh-CN" w:bidi="ar-SA"/>
        </w:rPr>
        <w:t>方案进行审核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shd w:fill="auto" w:val="clear"/>
          <w:lang w:val="en-US" w:eastAsia="zh-CN" w:bidi="ar-SA"/>
        </w:rPr>
        <w:t>把关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shd w:fill="auto" w:val="clear"/>
          <w:lang w:val="en-US" w:eastAsia="zh-CN" w:bidi="ar-SA"/>
        </w:rPr>
        <w:t>后择优推荐，于每年</w:t>
      </w:r>
      <w:r>
        <w:rPr>
          <w:rFonts w:eastAsia="仿宋_GB2312" w:cs="Times New Roman"/>
          <w:color w:val="000000"/>
          <w:kern w:val="2"/>
          <w:sz w:val="32"/>
          <w:szCs w:val="32"/>
          <w:shd w:fill="auto" w:val="clear"/>
          <w:lang w:val="en-US" w:eastAsia="zh-CN" w:bidi="ar-SA"/>
        </w:rPr>
        <w:t>3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shd w:fill="auto" w:val="clear"/>
          <w:lang w:val="en-US" w:eastAsia="zh-CN" w:bidi="ar-SA"/>
        </w:rPr>
        <w:t>月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shd w:fill="auto" w:val="clear"/>
          <w:lang w:val="en-US" w:eastAsia="zh-CN" w:bidi="ar-SA"/>
        </w:rPr>
        <w:t>底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shd w:fill="auto" w:val="clear"/>
          <w:lang w:val="en-US" w:eastAsia="zh-CN" w:bidi="ar-SA"/>
        </w:rPr>
        <w:t>前行文报省经信厅。</w:t>
      </w:r>
    </w:p>
    <w:p>
      <w:pPr>
        <w:pStyle w:val="Normal"/>
        <w:keepNext w:val="false"/>
        <w:keepLines w:val="false"/>
        <w:pageBreakBefore w:val="false"/>
        <w:widowControl/>
        <w:suppressLineNumbers w:val="0"/>
        <w:kinsoku w:val="true"/>
        <w:overflowPunct w:val="true"/>
        <w:autoSpaceDE w:val="true"/>
        <w:bidi w:val="0"/>
        <w:spacing w:lineRule="exact" w:line="600"/>
        <w:ind w:firstLine="640" w:right="0"/>
        <w:jc w:val="both"/>
        <w:textAlignment w:val="auto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shd w:fill="FFFFFF" w:val="clear"/>
          <w:lang w:val="en-US" w:eastAsia="zh-CN" w:bidi="ar-SA"/>
        </w:rPr>
      </w:pPr>
      <w:r>
        <w:rPr>
          <w:rFonts w:ascii="Times New Roman" w:hAnsi="Times New Roman" w:cs="Times New Roman" w:eastAsia="楷体_GB2312;楷体"/>
          <w:b w:val="false"/>
          <w:bCs w:val="false"/>
          <w:color w:val="000000"/>
          <w:kern w:val="2"/>
          <w:sz w:val="32"/>
          <w:szCs w:val="32"/>
          <w:shd w:fill="FFFFFF" w:val="clear"/>
          <w:lang w:val="en-US" w:eastAsia="zh-CN" w:bidi="ar-SA"/>
        </w:rPr>
        <w:t>（二）开展综合</w:t>
      </w:r>
      <w:r>
        <w:rPr>
          <w:rFonts w:cs="Times New Roman" w:eastAsia="楷体_GB2312;楷体"/>
          <w:b w:val="false"/>
          <w:bCs w:val="false"/>
          <w:color w:val="000000"/>
          <w:kern w:val="2"/>
          <w:sz w:val="32"/>
          <w:szCs w:val="32"/>
          <w:shd w:fill="FFFFFF" w:val="clear"/>
          <w:lang w:val="en-US" w:eastAsia="zh-CN" w:bidi="ar-SA"/>
        </w:rPr>
        <w:t>评</w:t>
      </w:r>
      <w:r>
        <w:rPr>
          <w:rFonts w:ascii="Times New Roman" w:hAnsi="Times New Roman" w:cs="Times New Roman" w:eastAsia="楷体_GB2312;楷体"/>
          <w:b w:val="false"/>
          <w:bCs w:val="false"/>
          <w:color w:val="000000"/>
          <w:kern w:val="2"/>
          <w:sz w:val="32"/>
          <w:szCs w:val="32"/>
          <w:shd w:fill="FFFFFF" w:val="clear"/>
          <w:lang w:val="en-US" w:eastAsia="zh-CN" w:bidi="ar-SA"/>
        </w:rPr>
        <w:t>选。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shd w:fill="auto" w:val="clear"/>
          <w:lang w:val="en-US" w:eastAsia="zh-CN" w:bidi="ar-SA"/>
        </w:rPr>
        <w:t>省经信厅牵头组织相关专家，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shd w:fill="auto" w:val="clear"/>
          <w:lang w:val="en-US" w:eastAsia="zh-CN" w:bidi="ar-SA"/>
        </w:rPr>
        <w:t>对申报企业开展现场核查，根据企业实际基础，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shd w:fill="FFFFFF" w:val="clear"/>
          <w:lang w:val="en-US" w:eastAsia="zh-CN" w:bidi="ar-SA"/>
        </w:rPr>
        <w:t>从目标合理性、技术领先性、方案可行性等方面，</w:t>
      </w:r>
      <w:r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  <w:t>对</w:t>
      </w:r>
      <w:r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  <w:t>建设方案提出意见建议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shd w:fill="FFFFFF" w:val="clear"/>
          <w:lang w:val="en-US" w:eastAsia="zh-CN" w:bidi="ar-SA"/>
        </w:rPr>
        <w:t>，企业可根据专家意见进一步完善方案</w:t>
      </w:r>
      <w:r>
        <w:rPr>
          <w:rFonts w:cs="Times New Roman"/>
          <w:color w:val="000000"/>
          <w:kern w:val="2"/>
          <w:sz w:val="32"/>
          <w:szCs w:val="32"/>
          <w:shd w:fill="FFFFFF" w:val="clear"/>
          <w:lang w:val="en-US" w:eastAsia="zh-CN" w:bidi="ar-SA"/>
        </w:rPr>
        <w:t>。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shd w:fill="FFFFFF" w:val="clear"/>
          <w:lang w:val="en-US" w:eastAsia="zh-CN" w:bidi="ar-SA"/>
        </w:rPr>
        <w:t>经综合评选后</w:t>
      </w:r>
      <w:r>
        <w:rPr>
          <w:rFonts w:ascii="Times New Roman" w:hAnsi="Times New Roman" w:cs="Times New Roman"/>
          <w:bCs/>
          <w:color w:val="000000"/>
          <w:kern w:val="0"/>
          <w:sz w:val="32"/>
          <w:szCs w:val="32"/>
          <w:shd w:fill="FFFFFF" w:val="clear"/>
          <w:lang w:val="en-US" w:eastAsia="zh-CN" w:bidi="ar-SA"/>
        </w:rPr>
        <w:t>，</w:t>
      </w:r>
      <w:r>
        <w:rPr>
          <w:rFonts w:cs="Times New Roman"/>
          <w:bCs/>
          <w:color w:val="000000"/>
          <w:kern w:val="0"/>
          <w:sz w:val="32"/>
          <w:szCs w:val="32"/>
          <w:shd w:fill="FFFFFF" w:val="clear"/>
          <w:lang w:val="en-US" w:eastAsia="zh-CN" w:bidi="ar-SA"/>
        </w:rPr>
        <w:t>择优</w:t>
      </w:r>
      <w:r>
        <w:rPr>
          <w:rFonts w:ascii="Times New Roman" w:hAnsi="Times New Roman" w:cs="Times New Roman"/>
          <w:bCs/>
          <w:color w:val="000000"/>
          <w:kern w:val="0"/>
          <w:sz w:val="32"/>
          <w:szCs w:val="32"/>
          <w:shd w:fill="FFFFFF" w:val="clear"/>
          <w:lang w:val="en-US" w:eastAsia="zh-CN" w:bidi="ar-SA"/>
        </w:rPr>
        <w:t>确定公布零碳（近零碳）工厂培育建设名单。</w:t>
      </w:r>
    </w:p>
    <w:p>
      <w:pPr>
        <w:pStyle w:val="Normal"/>
        <w:keepNext w:val="false"/>
        <w:keepLines w:val="false"/>
        <w:pageBreakBefore w:val="false"/>
        <w:widowControl/>
        <w:suppressLineNumbers w:val="0"/>
        <w:kinsoku w:val="true"/>
        <w:overflowPunct w:val="true"/>
        <w:autoSpaceDE w:val="true"/>
        <w:bidi w:val="0"/>
        <w:spacing w:lineRule="exact" w:line="600"/>
        <w:ind w:firstLine="640" w:right="0"/>
        <w:jc w:val="both"/>
        <w:textAlignment w:val="auto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cs="Times New Roman" w:eastAsia="楷体_GB2312;楷体"/>
          <w:b w:val="false"/>
          <w:bCs w:val="false"/>
          <w:color w:val="000000"/>
          <w:kern w:val="2"/>
          <w:sz w:val="32"/>
          <w:szCs w:val="32"/>
          <w:shd w:fill="FFFFFF" w:val="clear"/>
          <w:lang w:val="en-US" w:eastAsia="zh-CN" w:bidi="ar-SA"/>
        </w:rPr>
        <w:t>（三）过程指导服务。</w:t>
      </w:r>
      <w:r>
        <w:rPr>
          <w:rFonts w:ascii="Times New Roman" w:hAnsi="Times New Roman" w:cs="Times New Roman"/>
          <w:bCs/>
          <w:color w:val="000000"/>
          <w:kern w:val="0"/>
          <w:sz w:val="32"/>
          <w:szCs w:val="32"/>
          <w:shd w:fill="FFFFFF" w:val="clear"/>
          <w:lang w:val="en-US" w:eastAsia="zh-CN" w:bidi="ar-SA"/>
        </w:rPr>
        <w:t>省经信厅组建专家服务团对培育建设单位定期开展指导服务，及时了解建设进展情况，帮助解决相关问题</w:t>
      </w:r>
      <w:r>
        <w:rPr>
          <w:rFonts w:ascii="Times New Roman" w:hAnsi="Times New Roman" w:cs="Times New Roman"/>
          <w:color w:val="000000"/>
          <w:sz w:val="32"/>
          <w:szCs w:val="32"/>
          <w:lang w:val="en-US" w:eastAsia="zh-CN"/>
        </w:rPr>
        <w:t>。各培育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建设单位于每年</w:t>
      </w:r>
      <w:r>
        <w:rPr>
          <w:rFonts w:eastAsia="仿宋_GB2312" w:cs="Times New Roman"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月底前提交建设工作年度总结，对照建设评价要求，总结建设方案实施情况与相关指标的阶段性提升情况</w:t>
      </w:r>
      <w:r>
        <w:rPr>
          <w:rFonts w:cs="Times New Roman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必要时专家服务团可对建设情况进行现场评估，经评估建设进展较慢或者建设质量较低的，实行退出机制</w:t>
      </w:r>
      <w:r>
        <w:rPr>
          <w:rFonts w:ascii="Times New Roman" w:hAnsi="Times New Roman" w:cs="Times New Roman"/>
          <w:bCs/>
          <w:color w:val="000000"/>
          <w:kern w:val="0"/>
          <w:sz w:val="32"/>
          <w:szCs w:val="32"/>
          <w:shd w:fill="FFFFFF" w:val="clear"/>
          <w:lang w:val="en-US" w:eastAsia="zh-CN" w:bidi="ar-SA"/>
        </w:rPr>
        <w:t>。</w:t>
      </w:r>
    </w:p>
    <w:p>
      <w:pPr>
        <w:pStyle w:val="Normal"/>
        <w:keepNext w:val="false"/>
        <w:keepLines w:val="false"/>
        <w:widowControl/>
        <w:suppressLineNumbers w:val="0"/>
        <w:spacing w:lineRule="exact" w:line="600"/>
        <w:ind w:firstLine="640" w:right="0"/>
        <w:jc w:val="both"/>
        <w:rPr>
          <w:rFonts w:ascii="Times New Roman" w:hAnsi="Times New Roman" w:eastAsia="宋体;方正书宋_GBK" w:cs="Times New Roman"/>
          <w:sz w:val="21"/>
          <w:lang w:val="en-US"/>
        </w:rPr>
      </w:pPr>
      <w:r>
        <w:rPr>
          <w:rFonts w:ascii="Times New Roman" w:hAnsi="Times New Roman" w:cs="Times New Roman" w:eastAsia="楷体_GB2312;楷体"/>
          <w:b w:val="false"/>
          <w:bCs w:val="false"/>
          <w:color w:val="000000"/>
          <w:kern w:val="2"/>
          <w:sz w:val="32"/>
          <w:szCs w:val="32"/>
          <w:shd w:fill="FFFFFF" w:val="clear"/>
          <w:lang w:val="en-US" w:eastAsia="zh-CN" w:bidi="ar-SA"/>
        </w:rPr>
        <w:t>（四）组织评估认定。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各培育建设单位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完成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建设任务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，经自查达到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各项目标要求的，提请各设区市经信局进行评估和验收，验收通过的由各设区市经信局向省经信厅提出零碳（近零碳）工厂认定申请。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省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经信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厅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组织专家采取听取汇报、查阅资料、现场抽查等方式</w:t>
      </w:r>
      <w:r>
        <w:rPr>
          <w:rFonts w:cs="Times New Roman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对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建设情况进行审核，确定拟认定零碳（近零碳）工厂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名单。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培育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建设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周期一般不超过</w:t>
      </w:r>
      <w:r>
        <w:rPr>
          <w:rFonts w:eastAsia="仿宋_GB2312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年，自培育名单公布之日起</w:t>
      </w:r>
      <w:r>
        <w:rPr>
          <w:rFonts w:eastAsia="仿宋_GB2312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年内未提交认定申请的，自动退出零碳（近零碳）工厂培育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建设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名单。</w:t>
      </w:r>
    </w:p>
    <w:p>
      <w:pPr>
        <w:pStyle w:val="Normal"/>
        <w:keepNext w:val="false"/>
        <w:keepLines w:val="false"/>
        <w:pageBreakBefore w:val="false"/>
        <w:widowControl/>
        <w:suppressLineNumbers w:val="0"/>
        <w:kinsoku w:val="true"/>
        <w:overflowPunct w:val="true"/>
        <w:autoSpaceDE w:val="true"/>
        <w:bidi w:val="0"/>
        <w:spacing w:lineRule="exact" w:line="600"/>
        <w:ind w:firstLine="640" w:right="0"/>
        <w:jc w:val="left"/>
        <w:textAlignment w:val="auto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cs="Times New Roman" w:eastAsia="楷体_GB2312;楷体"/>
          <w:b w:val="false"/>
          <w:bCs w:val="false"/>
          <w:color w:val="000000"/>
          <w:kern w:val="2"/>
          <w:sz w:val="32"/>
          <w:szCs w:val="32"/>
          <w:shd w:fill="FFFFFF" w:val="clear"/>
          <w:lang w:val="en-US" w:eastAsia="zh-CN" w:bidi="ar-SA"/>
        </w:rPr>
        <w:t>（五）公布</w:t>
      </w:r>
      <w:r>
        <w:rPr>
          <w:rFonts w:cs="Times New Roman" w:eastAsia="楷体_GB2312;楷体"/>
          <w:b w:val="false"/>
          <w:bCs w:val="false"/>
          <w:color w:val="000000"/>
          <w:kern w:val="2"/>
          <w:sz w:val="32"/>
          <w:szCs w:val="32"/>
          <w:shd w:fill="FFFFFF" w:val="clear"/>
          <w:lang w:val="en-US" w:eastAsia="zh-CN" w:bidi="ar-SA"/>
        </w:rPr>
        <w:t>认定</w:t>
      </w:r>
      <w:r>
        <w:rPr>
          <w:rFonts w:ascii="Times New Roman" w:hAnsi="Times New Roman" w:cs="Times New Roman" w:eastAsia="楷体_GB2312;楷体"/>
          <w:b w:val="false"/>
          <w:bCs w:val="false"/>
          <w:color w:val="000000"/>
          <w:kern w:val="2"/>
          <w:sz w:val="32"/>
          <w:szCs w:val="32"/>
          <w:shd w:fill="FFFFFF" w:val="clear"/>
          <w:lang w:val="en-US" w:eastAsia="zh-CN" w:bidi="ar-SA"/>
        </w:rPr>
        <w:t>名单。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对拟认定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的零碳（近零碳）工厂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名单进行公示，公示无异议的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，由省经信厅发文公布，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并将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建设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情况纳入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各地“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浙江制造天工鼎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”</w:t>
      </w:r>
      <w:r>
        <w:rPr>
          <w:rFonts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工作评价内容。</w:t>
      </w:r>
    </w:p>
    <w:p>
      <w:pPr>
        <w:pStyle w:val="Style17"/>
        <w:keepNext w:val="false"/>
        <w:keepLines w:val="false"/>
        <w:pageBreakBefore w:val="false"/>
        <w:widowControl/>
        <w:suppressLineNumbers w:val="0"/>
        <w:pBdr/>
        <w:kinsoku w:val="true"/>
        <w:overflowPunct w:val="true"/>
        <w:autoSpaceDE w:val="true"/>
        <w:bidi w:val="0"/>
        <w:spacing w:lineRule="exact" w:line="600" w:before="0" w:after="0"/>
        <w:ind w:firstLine="640" w:right="0"/>
        <w:jc w:val="left"/>
        <w:textAlignment w:val="auto"/>
        <w:rPr>
          <w:rFonts w:ascii="Times New Roman" w:hAnsi="Times New Roman" w:eastAsia="黑体" w:cs="Times New Roman"/>
          <w:color w:val="000000"/>
          <w:kern w:val="2"/>
          <w:sz w:val="32"/>
          <w:szCs w:val="32"/>
          <w:shd w:fill="FFFFFF" w:val="clear"/>
          <w:lang w:val="en-US" w:eastAsia="zh-CN" w:bidi="ar-SA"/>
        </w:rPr>
      </w:pPr>
      <w:r>
        <w:rPr>
          <w:rFonts w:ascii="Times New Roman" w:hAnsi="Times New Roman" w:cs="Times New Roman" w:eastAsia="黑体"/>
          <w:color w:val="000000"/>
          <w:kern w:val="2"/>
          <w:sz w:val="32"/>
          <w:szCs w:val="32"/>
          <w:shd w:fill="FFFFFF" w:val="clear"/>
          <w:lang w:val="en-US" w:eastAsia="zh-CN" w:bidi="ar-SA"/>
        </w:rPr>
        <w:t>三</w:t>
      </w:r>
      <w:r>
        <w:rPr>
          <w:rFonts w:ascii="Times New Roman" w:hAnsi="Times New Roman" w:cs="Times New Roman" w:eastAsia="黑体"/>
          <w:color w:val="000000"/>
          <w:kern w:val="2"/>
          <w:sz w:val="32"/>
          <w:szCs w:val="32"/>
          <w:shd w:fill="FFFFFF" w:val="clear"/>
          <w:lang w:val="en-US" w:eastAsia="zh-CN" w:bidi="ar-SA"/>
        </w:rPr>
        <w:t>、</w:t>
      </w:r>
      <w:r>
        <w:rPr>
          <w:rFonts w:ascii="Times New Roman" w:hAnsi="Times New Roman" w:cs="Times New Roman" w:eastAsia="黑体"/>
          <w:color w:val="000000"/>
          <w:kern w:val="2"/>
          <w:sz w:val="32"/>
          <w:szCs w:val="32"/>
          <w:shd w:fill="FFFFFF" w:val="clear"/>
          <w:lang w:val="en-US" w:eastAsia="zh-CN" w:bidi="ar-SA"/>
        </w:rPr>
        <w:t>保障措施</w:t>
      </w:r>
    </w:p>
    <w:p>
      <w:pPr>
        <w:pStyle w:val="Normal"/>
        <w:keepNext w:val="false"/>
        <w:keepLines w:val="false"/>
        <w:pageBreakBefore w:val="false"/>
        <w:widowControl/>
        <w:suppressLineNumbers w:val="0"/>
        <w:kinsoku w:val="true"/>
        <w:overflowPunct w:val="true"/>
        <w:autoSpaceDE w:val="true"/>
        <w:bidi w:val="0"/>
        <w:spacing w:lineRule="exact" w:line="600"/>
        <w:ind w:firstLine="640" w:right="0"/>
        <w:jc w:val="left"/>
        <w:textAlignment w:val="auto"/>
        <w:rPr>
          <w:rFonts w:ascii="Times New Roman" w:hAnsi="Times New Roman" w:eastAsia="楷体_GB2312;楷体" w:cs="Times New Roman"/>
          <w:color w:val="000000"/>
          <w:sz w:val="32"/>
          <w:szCs w:val="32"/>
          <w:shd w:fill="FFFFFF" w:val="clear"/>
        </w:rPr>
      </w:pPr>
      <w:r>
        <w:rPr>
          <w:rFonts w:ascii="Times New Roman" w:hAnsi="Times New Roman" w:cs="Times New Roman" w:eastAsia="楷体_GB2312;楷体"/>
          <w:b w:val="false"/>
          <w:bCs w:val="false"/>
          <w:color w:val="000000"/>
          <w:sz w:val="32"/>
          <w:szCs w:val="32"/>
          <w:shd w:fill="FFFFFF" w:val="clear"/>
        </w:rPr>
        <w:t>（一）强化组织实施。</w:t>
      </w:r>
      <w:r>
        <w:rPr>
          <w:rFonts w:ascii="Times New Roman" w:hAnsi="Times New Roman" w:cs="Times New Roman"/>
          <w:color w:val="000000"/>
          <w:sz w:val="32"/>
          <w:szCs w:val="32"/>
          <w:shd w:fill="FFFFFF" w:val="clear"/>
        </w:rPr>
        <w:t>建立省、市、县协同联动推进工作机制</w:t>
      </w:r>
      <w:r>
        <w:rPr>
          <w:rFonts w:ascii="Times New Roman" w:hAnsi="Times New Roman" w:cs="Times New Roman"/>
          <w:color w:val="000000"/>
          <w:sz w:val="32"/>
          <w:szCs w:val="32"/>
          <w:shd w:fill="FFFFFF" w:val="clear"/>
          <w:lang w:eastAsia="zh-CN"/>
        </w:rPr>
        <w:t>。</w:t>
      </w:r>
      <w:r>
        <w:rPr>
          <w:rFonts w:ascii="Times New Roman" w:hAnsi="Times New Roman" w:cs="Times New Roman"/>
          <w:color w:val="000000"/>
          <w:sz w:val="32"/>
          <w:szCs w:val="32"/>
          <w:shd w:fill="FFFFFF" w:val="clear"/>
        </w:rPr>
        <w:t>省经信厅牵头</w:t>
      </w:r>
      <w:r>
        <w:rPr>
          <w:rFonts w:ascii="Times New Roman" w:hAnsi="Times New Roman" w:cs="Times New Roman"/>
          <w:color w:val="000000"/>
          <w:sz w:val="32"/>
          <w:szCs w:val="32"/>
          <w:shd w:fill="FFFFFF" w:val="clear"/>
          <w:lang w:eastAsia="zh-CN"/>
        </w:rPr>
        <w:t>，协同省有关部门统筹推进</w:t>
      </w:r>
      <w:r>
        <w:rPr>
          <w:rFonts w:ascii="Times New Roman" w:hAnsi="Times New Roman" w:cs="Times New Roman"/>
          <w:color w:val="000000"/>
          <w:sz w:val="32"/>
          <w:szCs w:val="32"/>
          <w:shd w:fill="FFFFFF" w:val="clear"/>
        </w:rPr>
        <w:t>零碳（近零碳）工厂培育</w:t>
      </w:r>
      <w:r>
        <w:rPr>
          <w:rFonts w:ascii="Times New Roman" w:hAnsi="Times New Roman" w:cs="Times New Roman"/>
          <w:color w:val="000000"/>
          <w:sz w:val="32"/>
          <w:szCs w:val="32"/>
          <w:shd w:fill="FFFFFF" w:val="clear"/>
          <w:lang w:eastAsia="zh-CN"/>
        </w:rPr>
        <w:t>建设</w:t>
      </w:r>
      <w:r>
        <w:rPr>
          <w:rFonts w:ascii="Times New Roman" w:hAnsi="Times New Roman" w:cs="Times New Roman"/>
          <w:color w:val="000000"/>
          <w:sz w:val="32"/>
          <w:szCs w:val="32"/>
          <w:shd w:fill="FFFFFF" w:val="clear"/>
        </w:rPr>
        <w:t>工作</w:t>
      </w:r>
      <w:r>
        <w:rPr>
          <w:rFonts w:cs="Times New Roman"/>
          <w:color w:val="000000"/>
          <w:sz w:val="32"/>
          <w:szCs w:val="32"/>
          <w:shd w:fill="FFFFFF" w:val="clear"/>
          <w:lang w:eastAsia="zh-CN"/>
        </w:rPr>
        <w:t>。</w:t>
      </w:r>
      <w:r>
        <w:rPr>
          <w:rFonts w:ascii="Times New Roman" w:hAnsi="Times New Roman" w:cs="Times New Roman"/>
          <w:color w:val="000000"/>
          <w:sz w:val="32"/>
          <w:szCs w:val="32"/>
          <w:shd w:fill="FFFFFF" w:val="clear"/>
        </w:rPr>
        <w:t>各地经信部门要高度重视零碳（近零碳）工厂培育</w:t>
      </w:r>
      <w:r>
        <w:rPr>
          <w:rFonts w:ascii="Times New Roman" w:hAnsi="Times New Roman" w:cs="Times New Roman"/>
          <w:color w:val="000000"/>
          <w:sz w:val="32"/>
          <w:szCs w:val="32"/>
          <w:shd w:fill="FFFFFF" w:val="clear"/>
          <w:lang w:eastAsia="zh-CN"/>
        </w:rPr>
        <w:t>建设</w:t>
      </w:r>
      <w:r>
        <w:rPr>
          <w:rFonts w:ascii="Times New Roman" w:hAnsi="Times New Roman" w:cs="Times New Roman"/>
          <w:color w:val="000000"/>
          <w:sz w:val="32"/>
          <w:szCs w:val="32"/>
          <w:shd w:fill="FFFFFF" w:val="clear"/>
        </w:rPr>
        <w:t>工作的示范引领</w:t>
      </w:r>
      <w:r>
        <w:rPr>
          <w:rFonts w:ascii="Times New Roman" w:hAnsi="Times New Roman" w:cs="Times New Roman"/>
          <w:color w:val="000000"/>
          <w:sz w:val="32"/>
          <w:szCs w:val="32"/>
          <w:shd w:fill="FFFFFF" w:val="clear"/>
          <w:lang w:val="en-US" w:eastAsia="zh-CN"/>
        </w:rPr>
        <w:t>作用</w:t>
      </w:r>
      <w:r>
        <w:rPr>
          <w:rFonts w:ascii="Times New Roman" w:hAnsi="Times New Roman" w:cs="Times New Roman"/>
          <w:color w:val="000000"/>
          <w:sz w:val="32"/>
          <w:szCs w:val="32"/>
          <w:shd w:fill="FFFFFF" w:val="clear"/>
        </w:rPr>
        <w:t>，</w:t>
      </w:r>
      <w:r>
        <w:rPr>
          <w:rFonts w:ascii="Times New Roman" w:hAnsi="Times New Roman" w:cs="Times New Roman"/>
          <w:color w:val="000000"/>
          <w:sz w:val="32"/>
          <w:szCs w:val="32"/>
          <w:shd w:fill="FFFFFF" w:val="clear"/>
          <w:lang w:val="en-US" w:eastAsia="zh-CN"/>
        </w:rPr>
        <w:t>严格审核把关，</w:t>
      </w:r>
      <w:r>
        <w:rPr>
          <w:rFonts w:ascii="Times New Roman" w:hAnsi="Times New Roman" w:cs="Times New Roman"/>
          <w:color w:val="000000"/>
          <w:sz w:val="32"/>
          <w:szCs w:val="32"/>
          <w:shd w:fill="FFFFFF" w:val="clear"/>
        </w:rPr>
        <w:t>高质量建立培育梯队，及时协调解决</w:t>
      </w:r>
      <w:r>
        <w:rPr>
          <w:rFonts w:ascii="Times New Roman" w:hAnsi="Times New Roman" w:cs="Times New Roman"/>
          <w:color w:val="000000"/>
          <w:sz w:val="32"/>
          <w:szCs w:val="32"/>
          <w:shd w:fill="FFFFFF" w:val="clear"/>
          <w:lang w:val="en-US" w:eastAsia="zh-CN"/>
        </w:rPr>
        <w:t>培育</w:t>
      </w:r>
      <w:r>
        <w:rPr>
          <w:rFonts w:ascii="Times New Roman" w:hAnsi="Times New Roman" w:cs="Times New Roman"/>
          <w:color w:val="000000"/>
          <w:sz w:val="32"/>
          <w:szCs w:val="32"/>
          <w:shd w:fill="FFFFFF" w:val="clear"/>
          <w:lang w:eastAsia="zh-CN"/>
        </w:rPr>
        <w:t>建设</w:t>
      </w:r>
      <w:r>
        <w:rPr>
          <w:rFonts w:ascii="Times New Roman" w:hAnsi="Times New Roman" w:cs="Times New Roman"/>
          <w:color w:val="000000"/>
          <w:sz w:val="32"/>
          <w:szCs w:val="32"/>
          <w:shd w:fill="FFFFFF" w:val="clear"/>
        </w:rPr>
        <w:t>过程中的困难和问题，切实做好指导督促</w:t>
      </w:r>
      <w:r>
        <w:rPr>
          <w:rFonts w:ascii="Times New Roman" w:hAnsi="Times New Roman" w:cs="Times New Roman"/>
          <w:color w:val="000000"/>
          <w:sz w:val="32"/>
          <w:szCs w:val="32"/>
          <w:shd w:fill="FFFFFF" w:val="clear"/>
          <w:lang w:val="en-US" w:eastAsia="zh-CN"/>
        </w:rPr>
        <w:t>工作</w:t>
      </w:r>
      <w:r>
        <w:rPr>
          <w:rFonts w:ascii="Times New Roman" w:hAnsi="Times New Roman" w:cs="Times New Roman"/>
          <w:color w:val="000000"/>
          <w:sz w:val="32"/>
          <w:szCs w:val="32"/>
          <w:shd w:fill="FFFFFF" w:val="clear"/>
        </w:rPr>
        <w:t>。</w:t>
      </w:r>
    </w:p>
    <w:p>
      <w:pPr>
        <w:pStyle w:val="Normal"/>
        <w:keepNext w:val="false"/>
        <w:keepLines w:val="false"/>
        <w:pageBreakBefore w:val="false"/>
        <w:kinsoku w:val="true"/>
        <w:overflowPunct w:val="true"/>
        <w:autoSpaceDE w:val="true"/>
        <w:bidi w:val="0"/>
        <w:snapToGrid w:val="false"/>
        <w:spacing w:lineRule="exact" w:line="600"/>
        <w:ind w:firstLine="640" w:right="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shd w:fill="FFFFFF" w:val="clear"/>
          <w:lang w:val="en-US" w:eastAsia="zh-CN"/>
        </w:rPr>
      </w:pPr>
      <w:r>
        <w:rPr>
          <w:rFonts w:ascii="Times New Roman" w:hAnsi="Times New Roman" w:cs="Times New Roman" w:eastAsia="楷体_GB2312;楷体"/>
          <w:b w:val="false"/>
          <w:bCs w:val="false"/>
          <w:color w:val="000000"/>
          <w:sz w:val="32"/>
          <w:szCs w:val="32"/>
          <w:shd w:fill="FFFFFF" w:val="clear"/>
          <w:lang w:eastAsia="zh-CN"/>
        </w:rPr>
        <w:t>（</w:t>
      </w:r>
      <w:r>
        <w:rPr>
          <w:rFonts w:ascii="Times New Roman" w:hAnsi="Times New Roman" w:cs="Times New Roman" w:eastAsia="楷体_GB2312;楷体"/>
          <w:b w:val="false"/>
          <w:bCs w:val="false"/>
          <w:color w:val="000000"/>
          <w:sz w:val="32"/>
          <w:szCs w:val="32"/>
          <w:shd w:fill="FFFFFF" w:val="clear"/>
          <w:lang w:val="en-US" w:eastAsia="zh-CN"/>
        </w:rPr>
        <w:t>二</w:t>
      </w:r>
      <w:r>
        <w:rPr>
          <w:rFonts w:ascii="Times New Roman" w:hAnsi="Times New Roman" w:cs="Times New Roman" w:eastAsia="楷体_GB2312;楷体"/>
          <w:b w:val="false"/>
          <w:bCs w:val="false"/>
          <w:color w:val="000000"/>
          <w:sz w:val="32"/>
          <w:szCs w:val="32"/>
          <w:shd w:fill="FFFFFF" w:val="clear"/>
          <w:lang w:eastAsia="zh-CN"/>
        </w:rPr>
        <w:t>）</w:t>
      </w:r>
      <w:r>
        <w:rPr>
          <w:rFonts w:ascii="Times New Roman" w:hAnsi="Times New Roman" w:cs="Times New Roman" w:eastAsia="楷体_GB2312;楷体"/>
          <w:b w:val="false"/>
          <w:bCs w:val="false"/>
          <w:color w:val="000000"/>
          <w:sz w:val="32"/>
          <w:szCs w:val="32"/>
          <w:shd w:fill="FFFFFF" w:val="clear"/>
          <w:lang w:val="en-US" w:eastAsia="zh-CN"/>
        </w:rPr>
        <w:t>强化政策支持。</w:t>
      </w:r>
      <w:r>
        <w:rPr>
          <w:rFonts w:ascii="Times New Roman" w:hAnsi="Times New Roman" w:cs="Times New Roman"/>
          <w:color w:val="000000"/>
          <w:sz w:val="32"/>
          <w:szCs w:val="32"/>
          <w:shd w:fill="FFFFFF" w:val="clear"/>
          <w:lang w:val="en-US" w:eastAsia="zh-CN"/>
        </w:rPr>
        <w:t>鼓励支持培育建设单位积极申报国家</w:t>
      </w:r>
      <w:r>
        <w:rPr>
          <w:rFonts w:ascii="Times New Roman" w:hAnsi="Times New Roman" w:cs="Times New Roman" w:eastAsia="Times New Roman"/>
          <w:color w:val="000000"/>
          <w:sz w:val="32"/>
          <w:szCs w:val="32"/>
          <w:shd w:fill="FFFFFF" w:val="clear"/>
          <w:lang w:val="en-US" w:eastAsia="zh-CN"/>
        </w:rPr>
        <w:t>“</w:t>
      </w:r>
      <w:r>
        <w:rPr>
          <w:rFonts w:ascii="Times New Roman" w:hAnsi="Times New Roman" w:cs="Times New Roman"/>
          <w:color w:val="000000"/>
          <w:sz w:val="32"/>
          <w:szCs w:val="32"/>
          <w:shd w:fill="FFFFFF" w:val="clear"/>
          <w:lang w:val="en-US" w:eastAsia="zh-CN"/>
        </w:rPr>
        <w:t>两重</w:t>
      </w:r>
      <w:r>
        <w:rPr>
          <w:rFonts w:ascii="Times New Roman" w:hAnsi="Times New Roman" w:cs="Times New Roman" w:eastAsia="Times New Roman"/>
          <w:color w:val="000000"/>
          <w:sz w:val="32"/>
          <w:szCs w:val="32"/>
          <w:shd w:fill="FFFFFF" w:val="clear"/>
          <w:lang w:val="en-US" w:eastAsia="zh-CN"/>
        </w:rPr>
        <w:t>”“</w:t>
      </w:r>
      <w:r>
        <w:rPr>
          <w:rFonts w:ascii="Times New Roman" w:hAnsi="Times New Roman" w:cs="Times New Roman"/>
          <w:color w:val="000000"/>
          <w:sz w:val="32"/>
          <w:szCs w:val="32"/>
          <w:shd w:fill="FFFFFF" w:val="clear"/>
          <w:lang w:val="en-US" w:eastAsia="zh-CN"/>
        </w:rPr>
        <w:t>两新</w:t>
      </w:r>
      <w:r>
        <w:rPr>
          <w:rFonts w:ascii="Times New Roman" w:hAnsi="Times New Roman" w:cs="Times New Roman" w:eastAsia="Times New Roman"/>
          <w:color w:val="000000"/>
          <w:sz w:val="32"/>
          <w:szCs w:val="32"/>
          <w:shd w:fill="FFFFFF" w:val="clear"/>
          <w:lang w:val="en-US" w:eastAsia="zh-CN"/>
        </w:rPr>
        <w:t>”</w:t>
      </w:r>
      <w:r>
        <w:rPr>
          <w:rFonts w:ascii="Times New Roman" w:hAnsi="Times New Roman" w:cs="Times New Roman"/>
          <w:color w:val="000000"/>
          <w:sz w:val="32"/>
          <w:szCs w:val="32"/>
          <w:shd w:fill="FFFFFF" w:val="clear"/>
          <w:lang w:val="en-US" w:eastAsia="zh-CN"/>
        </w:rPr>
        <w:t>和省级生产制造方式转型项目。鼓励有条件的地方结合实际在资金奖励、技改补助、绿色金融、人才引育等方面对零碳（近零碳）工厂建设单位加大扶持力度。</w:t>
      </w:r>
    </w:p>
    <w:p>
      <w:pPr>
        <w:pStyle w:val="Normal"/>
        <w:keepNext w:val="false"/>
        <w:keepLines w:val="false"/>
        <w:pageBreakBefore w:val="false"/>
        <w:widowControl/>
        <w:suppressLineNumbers w:val="0"/>
        <w:kinsoku w:val="true"/>
        <w:overflowPunct w:val="true"/>
        <w:autoSpaceDE w:val="true"/>
        <w:bidi w:val="0"/>
        <w:spacing w:lineRule="exact" w:line="600"/>
        <w:ind w:firstLine="640" w:right="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  <w:shd w:fill="FFFFFF" w:val="clear"/>
          <w:lang w:val="en-US" w:eastAsia="zh-CN"/>
        </w:rPr>
      </w:pPr>
      <w:r>
        <w:rPr>
          <w:rFonts w:ascii="Times New Roman" w:hAnsi="Times New Roman" w:cs="Times New Roman" w:eastAsia="楷体_GB2312;楷体"/>
          <w:b w:val="false"/>
          <w:bCs w:val="false"/>
          <w:color w:val="000000"/>
          <w:sz w:val="32"/>
          <w:szCs w:val="32"/>
          <w:shd w:fill="FFFFFF" w:val="clear"/>
          <w:lang w:val="en-US" w:eastAsia="zh-CN"/>
        </w:rPr>
        <w:t>（三）强化服务保障。</w:t>
      </w:r>
      <w:r>
        <w:rPr>
          <w:rFonts w:ascii="Times New Roman" w:hAnsi="Times New Roman" w:cs="Times New Roman"/>
          <w:color w:val="000000"/>
          <w:sz w:val="32"/>
          <w:szCs w:val="32"/>
          <w:shd w:fill="FFFFFF" w:val="clear"/>
          <w:lang w:val="en-US" w:eastAsia="zh-CN"/>
        </w:rPr>
        <w:t>省经信厅牵头组建专家服务团，对培育建设单位持续开展指导服务，充分发挥高等院校、科研院所、行业协会、服务机构等单位作用，在相关标准制定、科技创新、产业链上下游对接等方面提供支持。</w:t>
      </w:r>
    </w:p>
    <w:p>
      <w:pPr>
        <w:pStyle w:val="Normal"/>
        <w:keepNext w:val="false"/>
        <w:keepLines w:val="false"/>
        <w:pageBreakBefore w:val="false"/>
        <w:widowControl/>
        <w:suppressLineNumbers w:val="0"/>
        <w:kinsoku w:val="true"/>
        <w:overflowPunct w:val="true"/>
        <w:autoSpaceDE w:val="true"/>
        <w:bidi w:val="0"/>
        <w:spacing w:lineRule="exact" w:line="600"/>
        <w:ind w:firstLine="640" w:right="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yellow"/>
          <w:shd w:fill="FFFFFF" w:val="clear"/>
          <w:lang w:val="en-US" w:eastAsia="zh-CN"/>
        </w:rPr>
      </w:pPr>
      <w:r>
        <w:rPr>
          <w:rFonts w:ascii="Times New Roman" w:hAnsi="Times New Roman" w:cs="Times New Roman" w:eastAsia="楷体_GB2312;楷体"/>
          <w:b w:val="false"/>
          <w:bCs w:val="false"/>
          <w:color w:val="000000"/>
          <w:sz w:val="32"/>
          <w:szCs w:val="32"/>
          <w:shd w:fill="FFFFFF" w:val="clear"/>
          <w:lang w:val="en-US" w:eastAsia="zh-CN"/>
        </w:rPr>
        <w:t>（四）强化示范引领。</w:t>
      </w:r>
      <w:r>
        <w:rPr>
          <w:rFonts w:ascii="Times New Roman" w:hAnsi="Times New Roman" w:cs="Times New Roman"/>
          <w:color w:val="000000"/>
          <w:sz w:val="32"/>
          <w:szCs w:val="32"/>
          <w:shd w:fill="FFFFFF" w:val="clear"/>
          <w:lang w:val="en-US" w:eastAsia="zh-CN"/>
        </w:rPr>
        <w:t>各地要</w:t>
      </w:r>
      <w:r>
        <w:rPr>
          <w:rFonts w:ascii="Times New Roman" w:hAnsi="Times New Roman" w:cs="Times New Roman"/>
          <w:color w:val="000000"/>
          <w:sz w:val="32"/>
          <w:szCs w:val="32"/>
          <w:shd w:fill="FFFFFF" w:val="clear"/>
          <w:lang w:val="en-US" w:eastAsia="zh-CN"/>
        </w:rPr>
        <w:t>及时总结零碳（近零碳）工厂培育建设经验做法，运用多种方式开展典型案例交流推广活动，充分发挥绿色低碳标杆引领带动作用，推动实现全链条绿色低碳协同提升。</w:t>
      </w:r>
    </w:p>
    <w:p>
      <w:pPr>
        <w:pStyle w:val="Normal"/>
        <w:keepNext w:val="false"/>
        <w:keepLines w:val="false"/>
        <w:pageBreakBefore w:val="false"/>
        <w:widowControl/>
        <w:suppressLineNumbers w:val="0"/>
        <w:kinsoku w:val="true"/>
        <w:overflowPunct w:val="true"/>
        <w:autoSpaceDE w:val="true"/>
        <w:bidi w:val="0"/>
        <w:spacing w:lineRule="exact" w:line="600"/>
        <w:ind w:firstLine="640" w:right="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yellow"/>
          <w:shd w:fill="FFFFFF" w:val="clear"/>
          <w:lang w:val="en-US" w:eastAsia="zh-CN"/>
        </w:rPr>
      </w:pPr>
      <w:r>
        <w:rPr>
          <w:rFonts w:eastAsia="仿宋_GB2312" w:cs="Times New Roman"/>
          <w:color w:val="000000"/>
          <w:sz w:val="32"/>
          <w:szCs w:val="32"/>
          <w:highlight w:val="yellow"/>
          <w:shd w:fill="FFFFFF" w:val="clear"/>
          <w:lang w:val="en-US" w:eastAsia="zh-CN"/>
        </w:rPr>
      </w:r>
    </w:p>
    <w:p>
      <w:pPr>
        <w:pStyle w:val="Normal"/>
        <w:keepNext w:val="false"/>
        <w:keepLines w:val="false"/>
        <w:pageBreakBefore w:val="false"/>
        <w:widowControl/>
        <w:suppressLineNumbers w:val="0"/>
        <w:kinsoku w:val="true"/>
        <w:overflowPunct w:val="true"/>
        <w:autoSpaceDE w:val="true"/>
        <w:bidi w:val="0"/>
        <w:spacing w:lineRule="exact" w:line="600"/>
        <w:ind w:firstLine="640" w:right="0"/>
        <w:jc w:val="both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附件：</w:t>
      </w:r>
      <w:r>
        <w:rPr>
          <w:rFonts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cs="Times New Roman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浙江省零碳（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bidi="ar"/>
        </w:rPr>
        <w:t>近零碳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bidi="ar"/>
        </w:rPr>
        <w:t>工厂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eastAsia="zh-CN" w:bidi="ar"/>
        </w:rPr>
        <w:t>培育建设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评价要求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0"/>
        <w:kinsoku w:val="true"/>
        <w:overflowPunct w:val="true"/>
        <w:autoSpaceDE w:val="true"/>
        <w:bidi w:val="0"/>
        <w:spacing w:lineRule="exact" w:line="600"/>
        <w:ind w:firstLine="1600" w:left="0" w:right="0"/>
        <w:jc w:val="both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cs="Times New Roman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浙江省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零碳（近零碳）工厂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建设方案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模板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0"/>
        <w:kinsoku w:val="true"/>
        <w:overflowPunct w:val="true"/>
        <w:autoSpaceDE w:val="true"/>
        <w:bidi w:val="0"/>
        <w:spacing w:lineRule="exact" w:line="600"/>
        <w:ind w:hanging="0" w:left="0" w:right="0"/>
        <w:jc w:val="both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eastAsia="仿宋_GB2312" w:cs="Times New Roman"/>
          <w:color w:val="000000"/>
          <w:kern w:val="0"/>
          <w:sz w:val="32"/>
          <w:szCs w:val="32"/>
          <w:lang w:val="en-US" w:eastAsia="zh-CN" w:bidi="ar"/>
        </w:rPr>
      </w:r>
    </w:p>
    <w:p>
      <w:pPr>
        <w:sectPr>
          <w:footerReference w:type="default" r:id="rId2"/>
          <w:type w:val="nextPage"/>
          <w:pgSz w:w="11906" w:h="16838"/>
          <w:pgMar w:left="1587" w:right="1587" w:gutter="0" w:header="0" w:top="1814" w:footer="1134" w:bottom="1587"/>
          <w:pgNumType w:fmt="decimal"/>
          <w:formProt w:val="false"/>
          <w:textDirection w:val="lrTb"/>
          <w:docGrid w:type="lines" w:linePitch="312" w:charSpace="0"/>
        </w:sect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0"/>
        <w:kinsoku w:val="true"/>
        <w:overflowPunct w:val="true"/>
        <w:autoSpaceDE w:val="true"/>
        <w:bidi w:val="0"/>
        <w:spacing w:lineRule="exact" w:line="600"/>
        <w:ind w:firstLine="4480" w:left="0" w:right="0"/>
        <w:jc w:val="both"/>
        <w:textAlignment w:val="auto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eastAsia="仿宋_GB2312" w:cs="Times New Roman"/>
          <w:color w:val="000000"/>
          <w:kern w:val="2"/>
          <w:sz w:val="32"/>
          <w:szCs w:val="32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uppressLineNumbers w:val="0"/>
        <w:spacing w:lineRule="exact" w:line="600"/>
        <w:ind w:hanging="0" w:right="0"/>
        <w:jc w:val="both"/>
        <w:rPr>
          <w:rFonts w:ascii="Times New Roman" w:hAnsi="Times New Roman" w:eastAsia="黑体" w:cs="Times New Roman"/>
          <w:color w:val="000000"/>
          <w:kern w:val="2"/>
          <w:sz w:val="32"/>
          <w:szCs w:val="32"/>
          <w:shd w:fill="FFFFFF" w:val="clear"/>
          <w:lang w:val="en-US" w:eastAsia="zh-CN" w:bidi="ar-SA"/>
        </w:rPr>
      </w:pPr>
      <w:r>
        <w:rPr>
          <w:rFonts w:ascii="Times New Roman" w:hAnsi="Times New Roman" w:cs="Times New Roman" w:eastAsia="黑体"/>
          <w:color w:val="000000"/>
          <w:kern w:val="2"/>
          <w:sz w:val="32"/>
          <w:szCs w:val="32"/>
          <w:shd w:fill="FFFFFF" w:val="clear"/>
          <w:lang w:val="en-US" w:eastAsia="zh-CN" w:bidi="ar-SA"/>
        </w:rPr>
        <w:t>附件</w:t>
      </w:r>
      <w:r>
        <w:rPr>
          <w:rFonts w:eastAsia="黑体" w:cs="Times New Roman"/>
          <w:color w:val="000000"/>
          <w:kern w:val="2"/>
          <w:sz w:val="32"/>
          <w:szCs w:val="32"/>
          <w:shd w:fill="FFFFFF" w:val="clear"/>
          <w:lang w:val="en-US" w:eastAsia="zh-CN" w:bidi="ar-SA"/>
        </w:rPr>
        <w:t>1</w:t>
      </w:r>
    </w:p>
    <w:p>
      <w:pPr>
        <w:pStyle w:val="Normal"/>
        <w:keepNext w:val="false"/>
        <w:keepLines w:val="false"/>
        <w:widowControl/>
        <w:suppressLineNumbers w:val="0"/>
        <w:spacing w:lineRule="auto" w:line="240"/>
        <w:ind w:hanging="0" w:right="0"/>
        <w:jc w:val="both"/>
        <w:rPr>
          <w:rFonts w:ascii="Times New Roman" w:hAnsi="Times New Roman" w:eastAsia="黑体" w:cs="Times New Roman"/>
          <w:color w:val="000000"/>
          <w:kern w:val="2"/>
          <w:sz w:val="32"/>
          <w:szCs w:val="32"/>
          <w:shd w:fill="FFFFFF" w:val="clear"/>
          <w:lang w:val="en-US" w:eastAsia="zh-CN" w:bidi="ar-SA"/>
        </w:rPr>
      </w:pPr>
      <w:r>
        <w:rPr>
          <w:rFonts w:eastAsia="黑体" w:cs="Times New Roman"/>
          <w:color w:val="000000"/>
          <w:kern w:val="2"/>
          <w:sz w:val="32"/>
          <w:szCs w:val="32"/>
          <w:shd w:fill="FFFFFF" w:val="clear"/>
          <w:lang w:val="en-US" w:eastAsia="zh-CN" w:bidi="ar-SA"/>
        </w:rPr>
      </w:r>
    </w:p>
    <w:p>
      <w:pPr>
        <w:pStyle w:val="Normal"/>
        <w:keepNext w:val="false"/>
        <w:keepLines w:val="false"/>
        <w:widowControl/>
        <w:suppressLineNumbers w:val="0"/>
        <w:spacing w:lineRule="auto" w:line="240"/>
        <w:ind w:hanging="0" w:right="0"/>
        <w:jc w:val="center"/>
        <w:rPr>
          <w:rFonts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ascii="Times New Roman" w:hAnsi="Times New Roman" w:cs="Times New Roman" w:eastAsia="方正小标宋简体"/>
          <w:color w:val="000000"/>
          <w:kern w:val="2"/>
          <w:sz w:val="44"/>
          <w:szCs w:val="44"/>
          <w:lang w:val="en-US" w:eastAsia="zh-CN" w:bidi="ar-SA"/>
        </w:rPr>
        <w:t>浙江省零碳（近零碳）工厂培育建设评价要求</w:t>
      </w:r>
    </w:p>
    <w:tbl>
      <w:tblPr>
        <w:tblW w:w="95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200"/>
        <w:gridCol w:w="1455"/>
        <w:gridCol w:w="5391"/>
        <w:gridCol w:w="777"/>
      </w:tblGrid>
      <w:tr>
        <w:trPr>
          <w:tblHeader w:val="true"/>
          <w:trHeight w:val="402" w:hRule="atLeast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 w:eastAsia="黑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 w:eastAsia="黑体"/>
                <w:color w:val="000000"/>
                <w:kern w:val="0"/>
                <w:sz w:val="24"/>
                <w:szCs w:val="24"/>
                <w:lang w:val="en-US" w:eastAsia="zh-CN" w:bidi="ar"/>
              </w:rPr>
              <w:t>一级指标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 w:eastAsia="黑体"/>
                <w:color w:val="000000"/>
                <w:kern w:val="0"/>
                <w:sz w:val="24"/>
                <w:szCs w:val="24"/>
                <w:lang w:val="en-US" w:eastAsia="zh-CN" w:bidi="ar"/>
              </w:rPr>
              <w:t>二级指标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 w:eastAsia="黑体"/>
                <w:color w:val="000000"/>
                <w:kern w:val="0"/>
                <w:sz w:val="24"/>
                <w:szCs w:val="24"/>
                <w:lang w:val="en-US" w:eastAsia="zh-CN" w:bidi="ar"/>
              </w:rPr>
              <w:t>评价要求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 w:eastAsia="黑体"/>
                <w:color w:val="000000"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</w:tc>
      </w:tr>
      <w:tr>
        <w:trPr>
          <w:trHeight w:val="1130" w:hRule="atLeast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ind w:hanging="0" w:right="0"/>
              <w:rPr>
                <w:rFonts w:ascii="Times New Roman" w:hAnsi="Times New Roman" w:eastAsia="宋体;方正书宋_GBK" w:cs="Times New Roman"/>
                <w:color w:val="000000"/>
                <w:kern w:val="0"/>
                <w:sz w:val="21"/>
                <w:szCs w:val="24"/>
                <w:lang w:val="en-US" w:eastAsia="zh-CN" w:bidi="ar"/>
              </w:rPr>
            </w:pPr>
            <w:r>
              <w:rPr>
                <w:rFonts w:eastAsia="宋体;方正书宋_GBK" w:cs="Times New Roman"/>
                <w:color w:val="000000"/>
                <w:kern w:val="0"/>
                <w:sz w:val="21"/>
                <w:szCs w:val="24"/>
                <w:lang w:val="en-US" w:eastAsia="zh-CN" w:bidi="ar"/>
              </w:rPr>
            </w:r>
          </w:p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准入</w:t>
            </w:r>
          </w:p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条件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工厂要求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满足《浙江省绿色（低碳）工厂梯度培育管理实施细则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》中明确的有关绿色（低碳）工厂入选及动态管理需符合的基本要求。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一票否决</w:t>
            </w:r>
          </w:p>
        </w:tc>
      </w:tr>
      <w:tr>
        <w:trPr>
          <w:trHeight w:val="1068" w:hRule="atLeast"/>
        </w:trPr>
        <w:tc>
          <w:tcPr>
            <w:tcW w:w="7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规模体量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工厂已获得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省级及以上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绿色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（低碳）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工厂，且上年度综合能耗应大于等于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000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吨标煤（等价值）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或产值应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大于等于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亿元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7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r>
          </w:p>
        </w:tc>
      </w:tr>
      <w:tr>
        <w:trPr>
          <w:trHeight w:val="1184" w:hRule="atLeast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基础</w:t>
            </w:r>
          </w:p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设施</w:t>
            </w:r>
          </w:p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能源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信息化</w:t>
            </w:r>
          </w:p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管理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系统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工厂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建立能源信息化管理系统，实时采集重点用能单位、主要次级用能单位、主要用能设备的能源数据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，并自动进行统计分析、能效分析、用能预警。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</w:tr>
      <w:tr>
        <w:trPr>
          <w:trHeight w:val="1075" w:hRule="atLeast"/>
        </w:trPr>
        <w:tc>
          <w:tcPr>
            <w:tcW w:w="7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碳排放</w:t>
            </w:r>
          </w:p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信息化系统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  <w:t>工厂建立温室气体排放管理平台，对生产全流程进行碳计算、监测、仿真、可视化等管理</w:t>
            </w:r>
            <w:r>
              <w:rPr>
                <w:rFonts w:ascii="Times New Roman" w:hAnsi="Times New Roma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  <w:t>，对原始数据存档</w:t>
            </w:r>
            <w:r>
              <w:rPr>
                <w:rFonts w:ascii="Times New Roman" w:hAnsi="Times New Roma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  <w:t>。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</w:tr>
      <w:tr>
        <w:trPr>
          <w:trHeight w:val="842" w:hRule="atLeast"/>
        </w:trPr>
        <w:tc>
          <w:tcPr>
            <w:tcW w:w="7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spacing w:lineRule="auto" w:line="240"/>
              <w:ind w:hanging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spacing w:lineRule="auto" w:line="240"/>
              <w:ind w:hanging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专用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设</w:t>
            </w:r>
          </w:p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备能效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  <w:t>工厂使用的专用设备</w:t>
            </w:r>
            <w:r>
              <w:rPr>
                <w:rFonts w:ascii="Times New Roman" w:hAnsi="Times New Roma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  <w:t>全部</w:t>
            </w:r>
            <w:r>
              <w:rPr>
                <w:rFonts w:ascii="Times New Roman" w:hAnsi="Times New Roma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  <w:t>满足行业</w:t>
            </w:r>
            <w:r>
              <w:rPr>
                <w:rFonts w:ascii="Times New Roman" w:hAnsi="Times New Roma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  <w:t>先进</w:t>
            </w:r>
            <w:r>
              <w:rPr>
                <w:rFonts w:ascii="Times New Roman" w:hAnsi="Times New Roma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  <w:t>水平</w:t>
            </w:r>
            <w:r>
              <w:rPr>
                <w:rFonts w:ascii="Times New Roman" w:hAnsi="Times New Roma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  <w:t>得满分，</w:t>
            </w:r>
            <w:r>
              <w:rPr>
                <w:rFonts w:ascii="Times New Roman" w:hAnsi="Times New Roma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  <w:t>其他情况如</w:t>
            </w:r>
            <w:r>
              <w:rPr>
                <w:rFonts w:ascii="Times New Roman" w:hAnsi="Times New Roma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  <w:t>存在落后设备的</w:t>
            </w:r>
            <w:r>
              <w:rPr>
                <w:rFonts w:ascii="Times New Roman" w:hAnsi="Times New Roma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  <w:t>，</w:t>
            </w:r>
            <w:r>
              <w:rPr>
                <w:rFonts w:ascii="Times New Roman" w:hAnsi="Times New Roma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  <w:t>按比例酌情扣分。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</w:tr>
      <w:tr>
        <w:trPr>
          <w:trHeight w:val="1121" w:hRule="atLeast"/>
        </w:trPr>
        <w:tc>
          <w:tcPr>
            <w:tcW w:w="7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spacing w:lineRule="auto" w:line="240"/>
              <w:ind w:hanging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spacing w:lineRule="auto" w:line="240"/>
              <w:ind w:hanging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通用设</w:t>
            </w:r>
          </w:p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备能效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变压器、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压缩机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、风机等通用设备满足二级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以上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能效标准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得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分，</w:t>
            </w:r>
            <w:r>
              <w:rPr>
                <w:rFonts w:ascii="Times New Roman" w:hAnsi="Times New Roma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  <w:t>满足一级能效标准的得</w:t>
            </w:r>
            <w:r>
              <w:rPr>
                <w:rFonts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  <w:t>分。存在三级及以下能效设备的按比例酌情扣分。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</w:tr>
      <w:tr>
        <w:trPr>
          <w:trHeight w:val="3108" w:hRule="atLeast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能源使用</w:t>
            </w:r>
          </w:p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可再生</w:t>
            </w:r>
          </w:p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能源使用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优化用能结构，在保证安全、质量的前提下减少不可再生能源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使用比例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。上年度综合能耗小于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10000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吨标煤（等价值）的企业，近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年能源消费中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20%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来自厂界内可再生能源（包括太阳能、风能、生物质能、水能、地热能、海洋能等）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得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满分；大于等于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10000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吨标煤（等价值）小于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20000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吨标煤（等价值）的企业，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15%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来自可再生能源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得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满分；大于等于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20000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吨标煤（等价值）以上的企业，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10%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来自可再生能源得满分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其余按比例得分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  <w:t>8</w:t>
            </w:r>
          </w:p>
        </w:tc>
      </w:tr>
      <w:tr>
        <w:trPr>
          <w:trHeight w:val="1055" w:hRule="atLeast"/>
        </w:trPr>
        <w:tc>
          <w:tcPr>
            <w:tcW w:w="7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余能使用</w:t>
            </w:r>
          </w:p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（适用时）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合理利用工厂设施条件，充分利用余热余压余冷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等余能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，因地制宜利用可再生能源。每使用一种余能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且利用率达到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60%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以上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得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分，最高得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分。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</w:tr>
      <w:tr>
        <w:trPr>
          <w:trHeight w:val="1591" w:hRule="atLeast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产品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管理</w:t>
            </w:r>
          </w:p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生态</w:t>
            </w:r>
          </w:p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设计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开展生态设计，优化产品设计和生产工艺，在轻量化、低碳化、数字化、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人工智能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+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模块化、集成化、有毒有害物质减量化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、资源循环利用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等方面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存在特色亮点。每提供一种亮点做法得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分，最高得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分。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</w:tr>
      <w:tr>
        <w:trPr>
          <w:trHeight w:val="1027" w:hRule="atLeast"/>
        </w:trPr>
        <w:tc>
          <w:tcPr>
            <w:tcW w:w="7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碳管理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开展碳排放监测统计核算，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提供在产品碳足迹认证、碳标识认证、绿色供应链认证、碳捕集应用等方面案例。每提供一项案例得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分，最高得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分。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  <w:t>8</w:t>
            </w:r>
          </w:p>
        </w:tc>
      </w:tr>
      <w:tr>
        <w:trPr>
          <w:trHeight w:val="1917" w:hRule="atLeast"/>
        </w:trPr>
        <w:tc>
          <w:tcPr>
            <w:tcW w:w="7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单耗</w:t>
            </w:r>
          </w:p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水平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通过设备更新与工艺优化等手段，降低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工厂单位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增加值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或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产品能源消耗强度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。主要产品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单耗优于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国家、行业和地方标准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标杆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或行业先进值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20%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，得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分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；达到标杆要求的，得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分；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劣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于标杆要求或行业先进值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10%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以内的得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分，其余不得分。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  <w:t>10</w:t>
            </w:r>
          </w:p>
        </w:tc>
      </w:tr>
      <w:tr>
        <w:trPr>
          <w:trHeight w:val="1266" w:hRule="atLeast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自主减碳</w:t>
            </w:r>
          </w:p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技改</w:t>
            </w:r>
          </w:p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工厂采取生产工艺优化和改进、节能技术与措施应用等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减碳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策略，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开展节能减碳项目技改。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近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节能技改项目投资额达到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3000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万元以上得满分，其余按比例得分。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  <w:t>15</w:t>
            </w:r>
          </w:p>
        </w:tc>
      </w:tr>
      <w:tr>
        <w:trPr>
          <w:trHeight w:val="1000" w:hRule="atLeast"/>
        </w:trPr>
        <w:tc>
          <w:tcPr>
            <w:tcW w:w="7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技改</w:t>
            </w:r>
          </w:p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成效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工厂采用管理、技术和设备升级等措施有效提升能源利用效率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近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年工厂能耗或碳排放强度年均下降</w:t>
            </w:r>
            <w:r>
              <w:rPr>
                <w:rFonts w:ascii="Times New Roman" w:hAnsi="Times New Roman" w:cs="Times New Roman" w:eastAsia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5%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得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分，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eastAsia="仿宋_GB2312" w:cs="仿宋_GB2312" w:ascii="仿宋_GB2312" w:hAnsi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—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5%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之间按比例得分。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  <w:t>15</w:t>
            </w:r>
          </w:p>
        </w:tc>
      </w:tr>
      <w:tr>
        <w:trPr>
          <w:trHeight w:val="3188" w:hRule="atLeast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碳抵消</w:t>
            </w:r>
          </w:p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碳抵消</w:t>
            </w:r>
          </w:p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比例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通过碳捕集、碳封存、建设厂界外新能源项目，购买绿证、绿电、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碳配额、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CCER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减排量、碳普惠减排量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等，对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自主减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后剩余排放量进行抵消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，其中绿证、绿电抵扣上限不得超过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剩余排放量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的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50%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。上年度综合能耗小于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10000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吨标煤（等价值）抵消比例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80%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得满分；大于等于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10000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吨标煤（等价值）小于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20000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吨标煤（等价值）抵消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70%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得满分；大于等于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20000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吨标煤（等价值）以上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60%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得满分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30%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以下得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分；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其余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按抵消比例折算得分。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"/>
              </w:rPr>
              <w:t>15</w:t>
            </w:r>
          </w:p>
        </w:tc>
      </w:tr>
    </w:tbl>
    <w:p>
      <w:pPr>
        <w:pStyle w:val="Normal"/>
        <w:keepNext w:val="false"/>
        <w:keepLines w:val="false"/>
        <w:pageBreakBefore w:val="false"/>
        <w:numPr>
          <w:ilvl w:val="0"/>
          <w:numId w:val="0"/>
        </w:numPr>
        <w:tabs>
          <w:tab w:val="left" w:pos="420" w:leader="none"/>
        </w:tabs>
        <w:kinsoku w:val="true"/>
        <w:overflowPunct w:val="true"/>
        <w:autoSpaceDE w:val="true"/>
        <w:bidi w:val="0"/>
        <w:spacing w:lineRule="exact" w:line="560"/>
        <w:ind w:hanging="0" w:left="0" w:right="26"/>
        <w:outlineLvl w:val="0"/>
        <w:rPr>
          <w:rFonts w:ascii="Times New Roman" w:hAnsi="Times New Roman" w:eastAsia="黑体" w:cs="Times New Roman"/>
          <w:sz w:val="32"/>
          <w:lang w:val="en-US" w:eastAsia="zh-CN"/>
        </w:rPr>
      </w:pPr>
      <w:r>
        <w:rPr>
          <w:rFonts w:eastAsia="黑体" w:cs="Times New Roman"/>
          <w:sz w:val="32"/>
          <w:lang w:val="en-US" w:eastAsia="zh-CN"/>
        </w:rPr>
      </w:r>
    </w:p>
    <w:p>
      <w:pPr>
        <w:sectPr>
          <w:footerReference w:type="default" r:id="rId3"/>
          <w:footerReference w:type="first" r:id="rId4"/>
          <w:type w:val="nextPage"/>
          <w:pgSz w:w="11906" w:h="16838"/>
          <w:pgMar w:left="1587" w:right="1587" w:gutter="0" w:header="0" w:top="1814" w:footer="1134" w:bottom="1587"/>
          <w:pgNumType w:fmt="decimal"/>
          <w:formProt w:val="false"/>
          <w:textDirection w:val="lrTb"/>
          <w:docGrid w:type="lines" w:linePitch="312" w:charSpace="0"/>
        </w:sectPr>
        <w:pStyle w:val="Normal"/>
        <w:keepNext w:val="false"/>
        <w:keepLines w:val="false"/>
        <w:pageBreakBefore w:val="false"/>
        <w:numPr>
          <w:ilvl w:val="0"/>
          <w:numId w:val="0"/>
        </w:numPr>
        <w:tabs>
          <w:tab w:val="left" w:pos="420" w:leader="none"/>
        </w:tabs>
        <w:kinsoku w:val="true"/>
        <w:overflowPunct w:val="true"/>
        <w:autoSpaceDE w:val="true"/>
        <w:bidi w:val="0"/>
        <w:spacing w:lineRule="exact" w:line="560"/>
        <w:ind w:hanging="0" w:left="0" w:right="26"/>
        <w:outlineLvl w:val="0"/>
        <w:rPr>
          <w:rFonts w:ascii="Times New Roman" w:hAnsi="Times New Roman" w:eastAsia="黑体" w:cs="Times New Roman"/>
          <w:sz w:val="32"/>
          <w:lang w:val="en-US" w:eastAsia="zh-CN"/>
        </w:rPr>
      </w:pPr>
      <w:r>
        <w:rPr>
          <w:rFonts w:eastAsia="黑体" w:cs="Times New Roman"/>
          <w:sz w:val="32"/>
          <w:lang w:val="en-US" w:eastAsia="zh-CN"/>
        </w:rPr>
      </w:r>
      <w:r>
        <w:br w:type="page"/>
      </w:r>
    </w:p>
    <w:p>
      <w:pPr>
        <w:pStyle w:val="Normal"/>
        <w:keepNext w:val="false"/>
        <w:keepLines w:val="false"/>
        <w:pageBreakBefore w:val="false"/>
        <w:numPr>
          <w:ilvl w:val="0"/>
          <w:numId w:val="0"/>
        </w:numPr>
        <w:tabs>
          <w:tab w:val="left" w:pos="420" w:leader="none"/>
        </w:tabs>
        <w:kinsoku w:val="true"/>
        <w:overflowPunct w:val="true"/>
        <w:autoSpaceDE w:val="true"/>
        <w:bidi w:val="0"/>
        <w:spacing w:lineRule="exact" w:line="560"/>
        <w:ind w:hanging="0" w:left="0" w:right="26"/>
        <w:outlineLvl w:val="0"/>
        <w:rPr>
          <w:rFonts w:ascii="Times New Roman" w:hAnsi="Times New Roman" w:eastAsia="黑体" w:cs="Times New Roman"/>
          <w:sz w:val="32"/>
          <w:lang w:val="en-US" w:eastAsia="zh-CN"/>
        </w:rPr>
      </w:pPr>
      <w:r>
        <w:rPr>
          <w:rFonts w:ascii="Times New Roman" w:hAnsi="Times New Roman" w:cs="Times New Roman" w:eastAsia="黑体"/>
          <w:sz w:val="32"/>
          <w:lang w:eastAsia="zh-CN"/>
        </w:rPr>
        <w:t>附件</w:t>
      </w:r>
      <w:r>
        <w:rPr>
          <w:rFonts w:eastAsia="黑体" w:cs="Times New Roman"/>
          <w:sz w:val="32"/>
          <w:lang w:val="en-US" w:eastAsia="zh-CN"/>
        </w:rPr>
        <w:t>2</w:t>
      </w:r>
    </w:p>
    <w:p>
      <w:pPr>
        <w:pStyle w:val="Normal"/>
        <w:spacing w:lineRule="auto" w:line="360"/>
        <w:ind w:hanging="0" w:right="0"/>
        <w:rPr>
          <w:rFonts w:ascii="Times New Roman" w:hAnsi="Times New Roman" w:eastAsia="宋体;方正书宋_GBK" w:cs="Times New Roman"/>
          <w:sz w:val="28"/>
          <w:highlight w:val="none"/>
          <w:lang w:val="en-US" w:eastAsia="zh-CN"/>
        </w:rPr>
      </w:pPr>
      <w:r>
        <w:rPr>
          <w:rFonts w:eastAsia="宋体;方正书宋_GBK" w:cs="Times New Roman"/>
          <w:sz w:val="28"/>
          <w:lang w:val="en-US" w:eastAsia="zh-CN"/>
        </w:rPr>
      </w:r>
    </w:p>
    <w:p>
      <w:pPr>
        <w:pStyle w:val="Normal"/>
        <w:spacing w:lineRule="auto" w:line="360"/>
        <w:ind w:hanging="0" w:right="0"/>
        <w:jc w:val="center"/>
        <w:rPr>
          <w:rFonts w:ascii="Times New Roman" w:hAnsi="Times New Roman" w:eastAsia="黑体" w:cs="Times New Roman"/>
          <w:bCs/>
          <w:sz w:val="52"/>
          <w:szCs w:val="52"/>
          <w:highlight w:val="none"/>
        </w:rPr>
      </w:pPr>
      <w:r>
        <w:rPr>
          <w:rFonts w:eastAsia="黑体" w:cs="Times New Roman"/>
          <w:bCs/>
          <w:sz w:val="52"/>
          <w:szCs w:val="52"/>
        </w:rPr>
      </w:r>
    </w:p>
    <w:p>
      <w:pPr>
        <w:pStyle w:val="Normal"/>
        <w:spacing w:lineRule="auto" w:line="360"/>
        <w:ind w:hanging="0" w:right="0"/>
        <w:jc w:val="center"/>
        <w:rPr>
          <w:rFonts w:ascii="Times New Roman" w:hAnsi="Times New Roman" w:eastAsia="黑体" w:cs="Times New Roman"/>
          <w:bCs/>
          <w:sz w:val="52"/>
          <w:szCs w:val="52"/>
          <w:highlight w:val="none"/>
        </w:rPr>
      </w:pPr>
      <w:r>
        <w:rPr>
          <w:rFonts w:eastAsia="黑体" w:cs="Times New Roman"/>
          <w:bCs/>
          <w:sz w:val="52"/>
          <w:szCs w:val="52"/>
        </w:rPr>
      </w:r>
    </w:p>
    <w:p>
      <w:pPr>
        <w:pStyle w:val="Normal"/>
        <w:spacing w:lineRule="auto" w:line="360"/>
        <w:ind w:hanging="0" w:right="0"/>
        <w:jc w:val="center"/>
        <w:rPr>
          <w:rFonts w:ascii="Times New Roman" w:hAnsi="Times New Roman" w:eastAsia="黑体" w:cs="Times New Roman"/>
          <w:bCs/>
          <w:sz w:val="52"/>
          <w:szCs w:val="52"/>
          <w:highlight w:val="none"/>
          <w:lang w:val="en-US" w:eastAsia="zh-CN"/>
        </w:rPr>
      </w:pPr>
      <w:r>
        <w:rPr>
          <w:rFonts w:eastAsia="黑体" w:cs="Times New Roman"/>
          <w:bCs/>
          <w:sz w:val="52"/>
          <w:szCs w:val="52"/>
          <w:lang w:val="en-US" w:eastAsia="zh-CN"/>
        </w:rPr>
      </w:r>
    </w:p>
    <w:p>
      <w:pPr>
        <w:pStyle w:val="Normal"/>
        <w:spacing w:lineRule="auto" w:line="360"/>
        <w:ind w:hanging="0" w:right="0"/>
        <w:jc w:val="center"/>
        <w:rPr>
          <w:rFonts w:ascii="Times New Roman" w:hAnsi="Times New Roman" w:eastAsia="方正小标宋_GBK" w:cs="Times New Roman"/>
          <w:bCs/>
          <w:sz w:val="52"/>
          <w:szCs w:val="52"/>
          <w:highlight w:val="none"/>
          <w:lang w:val="en-US" w:eastAsia="zh-CN"/>
        </w:rPr>
      </w:pPr>
      <w:r>
        <w:rPr>
          <w:rFonts w:ascii="Times New Roman" w:hAnsi="Times New Roman" w:cs="Times New Roman" w:eastAsia="方正小标宋_GBK"/>
          <w:bCs/>
          <w:sz w:val="52"/>
          <w:szCs w:val="52"/>
          <w:lang w:val="en-US" w:eastAsia="zh-CN"/>
        </w:rPr>
        <w:t>浙江省零碳（近</w:t>
      </w:r>
      <w:r>
        <w:rPr>
          <w:rFonts w:ascii="Times New Roman" w:hAnsi="Times New Roman" w:cs="Times New Roman" w:eastAsia="方正小标宋_GBK"/>
          <w:bCs/>
          <w:sz w:val="52"/>
          <w:szCs w:val="52"/>
          <w:lang w:eastAsia="zh-CN"/>
        </w:rPr>
        <w:t>零碳</w:t>
      </w:r>
      <w:r>
        <w:rPr>
          <w:rFonts w:ascii="Times New Roman" w:hAnsi="Times New Roman" w:cs="Times New Roman" w:eastAsia="方正小标宋_GBK"/>
          <w:bCs/>
          <w:sz w:val="52"/>
          <w:szCs w:val="52"/>
          <w:lang w:val="en-US" w:eastAsia="zh-CN"/>
        </w:rPr>
        <w:t>）</w:t>
      </w:r>
      <w:r>
        <w:rPr>
          <w:rFonts w:ascii="Times New Roman" w:hAnsi="Times New Roman" w:cs="Times New Roman" w:eastAsia="方正小标宋_GBK"/>
          <w:bCs/>
          <w:sz w:val="52"/>
          <w:szCs w:val="52"/>
          <w:lang w:eastAsia="zh-CN"/>
        </w:rPr>
        <w:t>工厂建设</w:t>
      </w:r>
      <w:r>
        <w:rPr>
          <w:rFonts w:ascii="Times New Roman" w:hAnsi="Times New Roman" w:cs="Times New Roman" w:eastAsia="方正小标宋_GBK"/>
          <w:bCs/>
          <w:sz w:val="52"/>
          <w:szCs w:val="52"/>
          <w:lang w:val="en-US" w:eastAsia="zh-CN"/>
        </w:rPr>
        <w:t>方案</w:t>
      </w:r>
    </w:p>
    <w:p>
      <w:pPr>
        <w:pStyle w:val="Normal"/>
        <w:spacing w:lineRule="auto" w:line="360"/>
        <w:ind w:hanging="0" w:right="0"/>
        <w:jc w:val="center"/>
        <w:rPr>
          <w:rFonts w:ascii="楷体_GB2312;楷体" w:hAnsi="楷体_GB2312;楷体" w:eastAsia="楷体_GB2312;楷体" w:cs="楷体_GB2312;楷体"/>
          <w:bCs/>
          <w:sz w:val="44"/>
          <w:szCs w:val="44"/>
          <w:highlight w:val="none"/>
          <w:lang w:val="en-US" w:eastAsia="zh-CN"/>
        </w:rPr>
      </w:pPr>
      <w:r>
        <w:rPr>
          <w:rFonts w:ascii="楷体_GB2312;楷体" w:hAnsi="楷体_GB2312;楷体" w:cs="楷体_GB2312;楷体" w:eastAsia="楷体_GB2312;楷体"/>
          <w:bCs/>
          <w:sz w:val="44"/>
          <w:szCs w:val="44"/>
          <w:lang w:val="en-US" w:eastAsia="zh-CN"/>
        </w:rPr>
        <w:t>（模板）</w:t>
      </w:r>
    </w:p>
    <w:p>
      <w:pPr>
        <w:pStyle w:val="Normal"/>
        <w:spacing w:lineRule="auto" w:line="360"/>
        <w:ind w:hanging="0" w:right="0"/>
        <w:rPr>
          <w:rFonts w:ascii="Times New Roman" w:hAnsi="Times New Roman" w:eastAsia="宋体;方正书宋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eastAsia="宋体;方正书宋_GBK" w:cs="Times New Roman"/>
          <w:b/>
          <w:bCs/>
          <w:sz w:val="32"/>
          <w:szCs w:val="32"/>
          <w:lang w:val="en-US" w:eastAsia="zh-CN"/>
        </w:rPr>
      </w:r>
    </w:p>
    <w:p>
      <w:pPr>
        <w:pStyle w:val="Normal"/>
        <w:spacing w:lineRule="auto" w:line="360"/>
        <w:ind w:hanging="0" w:right="0"/>
        <w:rPr>
          <w:rFonts w:ascii="Times New Roman" w:hAnsi="Times New Roman" w:eastAsia="宋体;方正书宋_GBK" w:cs="Times New Roman"/>
          <w:b/>
          <w:sz w:val="32"/>
          <w:szCs w:val="32"/>
          <w:highlight w:val="none"/>
        </w:rPr>
      </w:pPr>
      <w:r>
        <w:rPr>
          <w:rFonts w:eastAsia="宋体;方正书宋_GBK" w:cs="Times New Roman"/>
          <w:b/>
          <w:sz w:val="32"/>
          <w:szCs w:val="32"/>
        </w:rPr>
      </w:r>
    </w:p>
    <w:p>
      <w:pPr>
        <w:pStyle w:val="Normal"/>
        <w:spacing w:lineRule="auto" w:line="360"/>
        <w:ind w:hanging="0" w:right="0"/>
        <w:rPr>
          <w:rFonts w:ascii="Times New Roman" w:hAnsi="Times New Roman" w:eastAsia="宋体;方正书宋_GBK" w:cs="Times New Roman"/>
          <w:b/>
          <w:sz w:val="32"/>
          <w:szCs w:val="32"/>
          <w:highlight w:val="none"/>
        </w:rPr>
      </w:pPr>
      <w:r>
        <w:rPr>
          <w:rFonts w:eastAsia="宋体;方正书宋_GBK" w:cs="Times New Roman"/>
          <w:b/>
          <w:sz w:val="32"/>
          <w:szCs w:val="32"/>
        </w:rPr>
      </w:r>
    </w:p>
    <w:p>
      <w:pPr>
        <w:pStyle w:val="Normal"/>
        <w:spacing w:lineRule="auto" w:line="360"/>
        <w:ind w:hanging="0" w:right="0"/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</w:pPr>
      <w:r>
        <w:rPr>
          <w:rFonts w:eastAsia="仿宋_GB2312" w:cs="Times New Roman"/>
          <w:b/>
          <w:sz w:val="32"/>
          <w:szCs w:val="32"/>
        </w:rPr>
      </w:r>
    </w:p>
    <w:p>
      <w:pPr>
        <w:pStyle w:val="Normal"/>
        <w:spacing w:lineRule="auto" w:line="360"/>
        <w:ind w:firstLine="960" w:right="0"/>
        <w:rPr>
          <w:rFonts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申报单位：</w:t>
      </w:r>
      <w:r>
        <w:rPr>
          <w:rFonts w:ascii="Times New Roman" w:hAnsi="Times New Roman" w:cs="Times New Roman" w:eastAsia="Times New Roman"/>
          <w:sz w:val="32"/>
          <w:szCs w:val="32"/>
          <w:u w:val="single"/>
        </w:rPr>
        <w:t xml:space="preserve">                          </w:t>
      </w:r>
    </w:p>
    <w:p>
      <w:pPr>
        <w:pStyle w:val="Normal"/>
        <w:spacing w:lineRule="auto" w:line="360"/>
        <w:ind w:firstLine="1920" w:right="0"/>
        <w:rPr>
          <w:rFonts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eastAsia="仿宋_GB2312" w:cs="Times New Roman"/>
          <w:sz w:val="32"/>
          <w:szCs w:val="32"/>
          <w:u w:val="single"/>
        </w:rPr>
      </w:r>
    </w:p>
    <w:p>
      <w:pPr>
        <w:pStyle w:val="Normal"/>
        <w:spacing w:lineRule="auto" w:line="360"/>
        <w:ind w:firstLine="960" w:right="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所在</w:t>
      </w:r>
      <w:r>
        <w:rPr>
          <w:rFonts w:ascii="Times New Roman" w:hAnsi="Times New Roman" w:cs="Times New Roman"/>
          <w:sz w:val="32"/>
          <w:szCs w:val="32"/>
          <w:lang w:val="en-US" w:eastAsia="zh-CN"/>
        </w:rPr>
        <w:t>地市</w:t>
      </w:r>
      <w:r>
        <w:rPr>
          <w:rFonts w:ascii="Times New Roman" w:hAnsi="Times New Roman" w:cs="Times New Roman"/>
          <w:sz w:val="32"/>
          <w:szCs w:val="32"/>
        </w:rPr>
        <w:t>：</w:t>
      </w:r>
      <w:r>
        <w:rPr>
          <w:rFonts w:ascii="Times New Roman" w:hAnsi="Times New Roman" w:cs="Times New Roman" w:eastAsia="Times New Roman"/>
          <w:sz w:val="32"/>
          <w:szCs w:val="32"/>
          <w:u w:val="single"/>
        </w:rPr>
        <w:t xml:space="preserve">                          </w:t>
      </w:r>
    </w:p>
    <w:p>
      <w:pPr>
        <w:pStyle w:val="Normal"/>
        <w:spacing w:lineRule="auto" w:line="360"/>
        <w:ind w:firstLine="1920" w:right="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eastAsia="仿宋_GB2312" w:cs="Times New Roman"/>
          <w:sz w:val="32"/>
          <w:szCs w:val="32"/>
        </w:rPr>
      </w:r>
    </w:p>
    <w:p>
      <w:pPr>
        <w:pStyle w:val="Normal"/>
        <w:spacing w:lineRule="auto" w:line="360"/>
        <w:ind w:hanging="0" w:right="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eastAsia="仿宋_GB2312" w:cs="Times New Roman"/>
          <w:sz w:val="32"/>
          <w:szCs w:val="32"/>
        </w:rPr>
      </w:r>
    </w:p>
    <w:p>
      <w:pPr>
        <w:pStyle w:val="Normal"/>
        <w:spacing w:lineRule="auto" w:line="360"/>
        <w:ind w:hanging="0" w:right="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eastAsia="仿宋_GB2312" w:cs="Times New Roman"/>
          <w:sz w:val="32"/>
          <w:szCs w:val="32"/>
        </w:rPr>
      </w:r>
    </w:p>
    <w:p>
      <w:pPr>
        <w:pStyle w:val="Normal"/>
        <w:spacing w:lineRule="auto" w:line="360"/>
        <w:ind w:hanging="0" w:right="0"/>
        <w:jc w:val="center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  <w:lang w:val="en-US" w:eastAsia="zh-CN"/>
        </w:rPr>
        <w:t>浙江省经济和信息化厅</w:t>
      </w:r>
      <w:r>
        <w:rPr>
          <w:rFonts w:ascii="Times New Roman" w:hAnsi="Times New Roman" w:cs="Times New Roman"/>
          <w:sz w:val="32"/>
          <w:szCs w:val="32"/>
        </w:rPr>
        <w:t>制</w:t>
      </w:r>
    </w:p>
    <w:p>
      <w:pPr>
        <w:sectPr>
          <w:footerReference w:type="default" r:id="rId5"/>
          <w:footerReference w:type="first" r:id="rId6"/>
          <w:type w:val="nextPage"/>
          <w:pgSz w:w="11906" w:h="16838"/>
          <w:pgMar w:left="1587" w:right="1587" w:gutter="0" w:header="0" w:top="1814" w:footer="1134" w:bottom="1587"/>
          <w:pgNumType w:fmt="decimal"/>
          <w:formProt w:val="false"/>
          <w:textDirection w:val="lrTb"/>
          <w:docGrid w:type="lines" w:linePitch="312" w:charSpace="0"/>
        </w:sectPr>
        <w:pStyle w:val="Normal"/>
        <w:spacing w:lineRule="auto" w:line="360"/>
        <w:ind w:hanging="0" w:right="0"/>
        <w:jc w:val="center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eastAsia="仿宋_GB2312" w:cs="Times New Roman"/>
          <w:sz w:val="32"/>
          <w:szCs w:val="32"/>
        </w:rPr>
        <w:t xml:space="preserve">20  </w:t>
      </w:r>
      <w:r>
        <w:rPr>
          <w:rFonts w:ascii="Times New Roman" w:hAnsi="Times New Roman" w:cs="Times New Roman"/>
          <w:sz w:val="32"/>
          <w:szCs w:val="32"/>
        </w:rPr>
        <w:t>年</w:t>
      </w:r>
      <w:r>
        <w:rPr>
          <w:rFonts w:ascii="Times New Roman" w:hAnsi="Times New Roman" w:cs="Times New Roman" w:eastAsia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月</w:t>
      </w:r>
      <w:r>
        <w:rPr>
          <w:rFonts w:ascii="Times New Roman" w:hAnsi="Times New Roman" w:cs="Times New Roman" w:eastAsia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日</w:t>
      </w:r>
      <w:r>
        <w:br w:type="page"/>
      </w:r>
    </w:p>
    <w:p>
      <w:pPr>
        <w:pStyle w:val="Normal"/>
        <w:keepNext w:val="false"/>
        <w:keepLines w:val="false"/>
        <w:pageBreakBefore w:val="false"/>
        <w:widowControl w:val="false"/>
        <w:kinsoku w:val="true"/>
        <w:overflowPunct w:val="true"/>
        <w:autoSpaceDE w:val="true"/>
        <w:bidi w:val="0"/>
        <w:snapToGrid w:val="true"/>
        <w:spacing w:lineRule="auto" w:line="240" w:before="157" w:after="313"/>
        <w:ind w:hanging="0" w:right="0"/>
        <w:jc w:val="center"/>
        <w:textAlignment w:val="auto"/>
        <w:rPr>
          <w:rFonts w:ascii="Times New Roman" w:hAnsi="Times New Roman" w:eastAsia="黑体" w:cs="Times New Roman"/>
          <w:sz w:val="36"/>
          <w:szCs w:val="36"/>
          <w:highlight w:val="none"/>
        </w:rPr>
      </w:pPr>
      <w:r>
        <w:rPr>
          <w:rFonts w:ascii="Times New Roman" w:hAnsi="Times New Roman" w:cs="Times New Roman" w:eastAsia="黑体"/>
          <w:sz w:val="36"/>
          <w:szCs w:val="36"/>
        </w:rPr>
        <w:t>基本信息表</w:t>
      </w:r>
    </w:p>
    <w:tbl>
      <w:tblPr>
        <w:tblW w:w="90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1759"/>
        <w:gridCol w:w="545"/>
        <w:gridCol w:w="567"/>
        <w:gridCol w:w="606"/>
        <w:gridCol w:w="1131"/>
        <w:gridCol w:w="587"/>
        <w:gridCol w:w="1719"/>
      </w:tblGrid>
      <w:tr>
        <w:trPr>
          <w:trHeight w:val="480" w:hRule="atLeast"/>
          <w:cantSplit w:val="true"/>
        </w:trPr>
        <w:tc>
          <w:tcPr>
            <w:tcW w:w="9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 w:eastAsia="黑体"/>
                <w:color w:val="000000"/>
                <w:kern w:val="0"/>
                <w:sz w:val="28"/>
                <w:szCs w:val="28"/>
                <w:lang w:val="en-US" w:eastAsia="zh-CN"/>
              </w:rPr>
              <w:t>一、建设单位概况</w:t>
            </w:r>
          </w:p>
        </w:tc>
      </w:tr>
      <w:tr>
        <w:trPr>
          <w:trHeight w:val="622" w:hRule="atLeast"/>
          <w:cantSplit w:val="true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工厂名称</w:t>
            </w:r>
          </w:p>
        </w:tc>
        <w:tc>
          <w:tcPr>
            <w:tcW w:w="69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r>
          </w:p>
        </w:tc>
      </w:tr>
      <w:tr>
        <w:trPr>
          <w:trHeight w:val="172" w:hRule="atLeast"/>
          <w:cantSplit w:val="true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通讯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69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ind w:hanging="0" w:right="0"/>
              <w:jc w:val="center"/>
              <w:textAlignment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eastAsia="仿宋" w:cs="Times New Roman"/>
                <w:color w:val="FF0000"/>
                <w:kern w:val="0"/>
                <w:sz w:val="24"/>
                <w:szCs w:val="24"/>
                <w:lang w:val="en-US" w:eastAsia="zh-CN" w:bidi="ar"/>
              </w:rPr>
            </w:r>
          </w:p>
          <w:p>
            <w:pPr>
              <w:pStyle w:val="Normal"/>
              <w:snapToGrid w:val="false"/>
              <w:spacing w:lineRule="auto" w:line="240"/>
              <w:ind w:hanging="0" w:right="0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r>
          </w:p>
        </w:tc>
      </w:tr>
      <w:tr>
        <w:trPr>
          <w:trHeight w:val="693" w:hRule="atLeast"/>
          <w:cantSplit w:val="true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69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ind w:hanging="0" w:right="0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eastAsia="宋体;方正书宋_GBK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位数代码及名称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rPr>
          <w:trHeight w:val="671" w:hRule="atLeast"/>
          <w:cantSplit w:val="true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keepNext w:val="false"/>
              <w:keepLines w:val="false"/>
              <w:widowControl w:val="false"/>
              <w:kinsoku w:val="false"/>
              <w:overflowPunct w:val="false"/>
              <w:autoSpaceDE w:val="true"/>
              <w:bidi w:val="0"/>
              <w:snapToGrid w:val="false"/>
              <w:spacing w:lineRule="auto" w:line="240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="仿宋_GB2312"/>
                <w:szCs w:val="24"/>
              </w:rPr>
              <w:t>单位性质</w:t>
            </w:r>
          </w:p>
        </w:tc>
        <w:tc>
          <w:tcPr>
            <w:tcW w:w="69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keepNext w:val="false"/>
              <w:keepLines w:val="false"/>
              <w:widowControl w:val="false"/>
              <w:kinsoku w:val="false"/>
              <w:overflowPunct w:val="false"/>
              <w:autoSpaceDE w:val="true"/>
              <w:bidi w:val="0"/>
              <w:snapToGrid w:val="false"/>
              <w:spacing w:lineRule="auto" w:line="240"/>
              <w:ind w:left="103"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 w:eastAsia="仿宋_GB2312"/>
                <w:spacing w:val="-1"/>
                <w:szCs w:val="24"/>
              </w:rPr>
              <w:t>内资（</w:t>
            </w:r>
            <w:r>
              <w:rPr>
                <w:rFonts w:ascii="Times New Roman" w:hAnsi="Times New Roman" w:cs="Times New Roman" w:eastAsia="仿宋_GB2312"/>
                <w:spacing w:val="-1"/>
                <w:szCs w:val="24"/>
                <w:lang w:eastAsia="zh-CN"/>
              </w:rPr>
              <w:t>□</w:t>
            </w:r>
            <w:r>
              <w:rPr>
                <w:rFonts w:ascii="Times New Roman" w:hAnsi="Times New Roman" w:cs="Times New Roman" w:eastAsia="仿宋_GB2312"/>
                <w:spacing w:val="-1"/>
                <w:szCs w:val="24"/>
              </w:rPr>
              <w:t>国有</w:t>
            </w:r>
            <w:r>
              <w:rPr>
                <w:rFonts w:ascii="Times New Roman" w:hAnsi="Times New Roman" w:cs="Times New Roman" w:eastAsia="Times New Roman"/>
                <w:spacing w:val="-1"/>
                <w:szCs w:val="24"/>
              </w:rPr>
              <w:t>□</w:t>
            </w:r>
            <w:r>
              <w:rPr>
                <w:rFonts w:ascii="Times New Roman" w:hAnsi="Times New Roman" w:cs="Times New Roman" w:eastAsia="仿宋_GB2312"/>
                <w:spacing w:val="-1"/>
                <w:szCs w:val="24"/>
              </w:rPr>
              <w:t>集体</w:t>
            </w:r>
            <w:r>
              <w:rPr>
                <w:rFonts w:ascii="Times New Roman" w:hAnsi="Times New Roman" w:cs="Times New Roman" w:eastAsia="Times New Roman"/>
                <w:spacing w:val="-1"/>
                <w:szCs w:val="24"/>
              </w:rPr>
              <w:t>□</w:t>
            </w:r>
            <w:r>
              <w:rPr>
                <w:rFonts w:ascii="Times New Roman" w:hAnsi="Times New Roman" w:cs="Times New Roman" w:eastAsia="仿宋_GB2312"/>
                <w:spacing w:val="-1"/>
                <w:szCs w:val="24"/>
              </w:rPr>
              <w:t>民营）</w:t>
            </w:r>
            <w:r>
              <w:rPr>
                <w:rFonts w:ascii="Times New Roman" w:hAnsi="Times New Roman" w:cs="Times New Roman" w:eastAsia="Times New Roman"/>
                <w:spacing w:val="-1"/>
                <w:szCs w:val="24"/>
              </w:rPr>
              <w:t>□</w:t>
            </w:r>
            <w:r>
              <w:rPr>
                <w:rFonts w:ascii="Times New Roman" w:hAnsi="Times New Roman" w:cs="Times New Roman" w:eastAsia="仿宋_GB2312"/>
                <w:spacing w:val="-1"/>
                <w:szCs w:val="24"/>
              </w:rPr>
              <w:t>中外合资</w:t>
            </w:r>
            <w:r>
              <w:rPr>
                <w:rFonts w:ascii="Times New Roman" w:hAnsi="Times New Roman" w:cs="Times New Roman" w:eastAsia="Times New Roman"/>
                <w:spacing w:val="-1"/>
                <w:szCs w:val="24"/>
              </w:rPr>
              <w:t>□</w:t>
            </w:r>
            <w:r>
              <w:rPr>
                <w:rFonts w:ascii="Times New Roman" w:hAnsi="Times New Roman" w:cs="Times New Roman" w:eastAsia="仿宋_GB2312"/>
                <w:spacing w:val="-1"/>
                <w:szCs w:val="24"/>
              </w:rPr>
              <w:t>港澳台</w:t>
            </w:r>
            <w:r>
              <w:rPr>
                <w:rFonts w:ascii="Times New Roman" w:hAnsi="Times New Roman" w:cs="Times New Roman" w:eastAsia="Times New Roman"/>
                <w:spacing w:val="-1"/>
                <w:szCs w:val="24"/>
              </w:rPr>
              <w:t>□</w:t>
            </w:r>
            <w:r>
              <w:rPr>
                <w:rFonts w:ascii="Times New Roman" w:hAnsi="Times New Roman" w:cs="Times New Roman" w:eastAsia="仿宋_GB2312"/>
                <w:spacing w:val="-1"/>
                <w:szCs w:val="24"/>
              </w:rPr>
              <w:t>外商独资</w:t>
            </w:r>
          </w:p>
        </w:tc>
      </w:tr>
      <w:tr>
        <w:trPr>
          <w:trHeight w:val="403" w:hRule="atLeast"/>
          <w:cantSplit w:val="true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keepNext w:val="false"/>
              <w:keepLines w:val="false"/>
              <w:widowControl w:val="false"/>
              <w:kinsoku w:val="false"/>
              <w:overflowPunct w:val="false"/>
              <w:autoSpaceDE w:val="true"/>
              <w:bidi w:val="0"/>
              <w:snapToGrid w:val="false"/>
              <w:spacing w:lineRule="auto" w:line="240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cs="Times New Roman" w:eastAsia="仿宋_GB2312"/>
                <w:szCs w:val="24"/>
              </w:rPr>
              <w:t>统一社会</w:t>
            </w:r>
          </w:p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信用代码</w:t>
            </w:r>
          </w:p>
        </w:tc>
        <w:tc>
          <w:tcPr>
            <w:tcW w:w="69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ind w:hanging="0" w:right="0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eastAsia="仿宋" w:cs="Times New Roman"/>
                <w:color w:val="000000"/>
                <w:kern w:val="0"/>
                <w:sz w:val="24"/>
                <w:szCs w:val="24"/>
                <w:lang w:eastAsia="zh-CN" w:bidi="ar"/>
              </w:rPr>
            </w:r>
          </w:p>
        </w:tc>
      </w:tr>
      <w:tr>
        <w:trPr>
          <w:trHeight w:val="640" w:hRule="atLeast"/>
          <w:cantSplit w:val="true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主营业务</w:t>
            </w:r>
          </w:p>
        </w:tc>
        <w:tc>
          <w:tcPr>
            <w:tcW w:w="69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ind w:hanging="0" w:right="0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eastAsia="仿宋" w:cs="Times New Roman"/>
                <w:color w:val="000000"/>
                <w:kern w:val="0"/>
                <w:sz w:val="24"/>
                <w:szCs w:val="24"/>
                <w:lang w:eastAsia="zh-CN" w:bidi="ar"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kinsoku w:val="false"/>
              <w:overflowPunct w:val="false"/>
              <w:snapToGrid w:val="false"/>
              <w:spacing w:lineRule="auto" w:line="24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="仿宋_GB2312"/>
                <w:szCs w:val="24"/>
              </w:rPr>
              <w:t>成立日期</w:t>
            </w: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keepNext w:val="false"/>
              <w:keepLines w:val="false"/>
              <w:widowControl w:val="false"/>
              <w:kinsoku w:val="false"/>
              <w:overflowPunct w:val="false"/>
              <w:autoSpaceDE w:val="true"/>
              <w:bidi w:val="0"/>
              <w:snapToGrid w:val="false"/>
              <w:spacing w:lineRule="auto" w:line="240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="仿宋_GB2312"/>
                <w:szCs w:val="24"/>
              </w:rPr>
              <w:t>注册资本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r>
          </w:p>
        </w:tc>
      </w:tr>
      <w:tr>
        <w:trPr>
          <w:trHeight w:val="526" w:hRule="atLeast"/>
          <w:cantSplit w:val="true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keepNext w:val="false"/>
              <w:keepLines w:val="false"/>
              <w:widowControl w:val="false"/>
              <w:kinsoku w:val="false"/>
              <w:overflowPunct w:val="false"/>
              <w:autoSpaceDE w:val="true"/>
              <w:bidi w:val="0"/>
              <w:snapToGrid w:val="false"/>
              <w:spacing w:lineRule="auto" w:line="240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="仿宋_GB2312"/>
                <w:szCs w:val="24"/>
              </w:rPr>
              <w:t>法定代表人</w:t>
            </w: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keepNext w:val="false"/>
              <w:keepLines w:val="false"/>
              <w:widowControl w:val="false"/>
              <w:kinsoku w:val="false"/>
              <w:overflowPunct w:val="false"/>
              <w:autoSpaceDE w:val="true"/>
              <w:bidi w:val="0"/>
              <w:snapToGrid w:val="false"/>
              <w:spacing w:lineRule="auto" w:line="240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="仿宋_GB2312"/>
                <w:szCs w:val="24"/>
              </w:rPr>
              <w:t>法人代表电话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r>
          </w:p>
        </w:tc>
      </w:tr>
      <w:tr>
        <w:trPr>
          <w:trHeight w:val="526" w:hRule="atLeast"/>
          <w:cantSplit w:val="true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keepNext w:val="false"/>
              <w:keepLines w:val="false"/>
              <w:widowControl w:val="false"/>
              <w:kinsoku w:val="false"/>
              <w:overflowPunct w:val="false"/>
              <w:autoSpaceDE w:val="true"/>
              <w:bidi w:val="0"/>
              <w:snapToGrid w:val="false"/>
              <w:spacing w:lineRule="auto" w:line="240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 w:eastAsia="仿宋_GB2312"/>
                <w:szCs w:val="24"/>
              </w:rPr>
              <w:t>联系人</w:t>
            </w: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keepNext w:val="false"/>
              <w:keepLines w:val="false"/>
              <w:widowControl w:val="false"/>
              <w:kinsoku w:val="false"/>
              <w:overflowPunct w:val="false"/>
              <w:autoSpaceDE w:val="true"/>
              <w:bidi w:val="0"/>
              <w:snapToGrid w:val="false"/>
              <w:spacing w:lineRule="auto" w:line="240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 w:eastAsia="仿宋_GB2312"/>
                <w:szCs w:val="24"/>
              </w:rPr>
              <w:t>联系电话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r>
          </w:p>
        </w:tc>
      </w:tr>
      <w:tr>
        <w:trPr>
          <w:trHeight w:val="526" w:hRule="atLeast"/>
          <w:cantSplit w:val="true"/>
        </w:trPr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企业近</w:t>
            </w:r>
            <w:r>
              <w:rPr>
                <w:rFonts w:eastAsia="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经营情况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autoSpaceDE w:val="true"/>
              <w:bidi w:val="0"/>
              <w:snapToGrid w:val="false"/>
              <w:spacing w:lineRule="auto" w:line="240"/>
              <w:ind w:firstLine="960" w:right="0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年度</w:t>
            </w:r>
          </w:p>
          <w:p>
            <w:pPr>
              <w:pStyle w:val="Normal"/>
              <w:keepNext w:val="false"/>
              <w:keepLines w:val="false"/>
              <w:autoSpaceDE w:val="true"/>
              <w:bidi w:val="0"/>
              <w:snapToGrid w:val="false"/>
              <w:spacing w:lineRule="auto" w:line="240"/>
              <w:ind w:hanging="0" w:right="0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金额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sz w:val="24"/>
                <w:szCs w:val="24"/>
                <w:lang w:val="en-US" w:eastAsia="zh-CN"/>
              </w:rPr>
              <w:t>202X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sz w:val="24"/>
                <w:szCs w:val="24"/>
                <w:lang w:val="en-US" w:eastAsia="zh-CN"/>
              </w:rPr>
              <w:t>202X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sz w:val="24"/>
                <w:szCs w:val="24"/>
                <w:lang w:val="en-US" w:eastAsia="zh-CN"/>
              </w:rPr>
              <w:t>202X</w:t>
            </w:r>
          </w:p>
        </w:tc>
      </w:tr>
      <w:tr>
        <w:trPr>
          <w:trHeight w:val="526" w:hRule="atLeast"/>
          <w:cantSplit w:val="true"/>
        </w:trPr>
        <w:tc>
          <w:tcPr>
            <w:tcW w:w="2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工业总产值</w:t>
            </w:r>
          </w:p>
          <w:p>
            <w:pPr>
              <w:pStyle w:val="Normal"/>
              <w:keepNext w:val="false"/>
              <w:keepLines w:val="fals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元）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 w:cs="Times New Roman"/>
                <w:kern w:val="2"/>
                <w:sz w:val="21"/>
                <w:szCs w:val="24"/>
                <w:lang w:val="en-US" w:eastAsia="zh-CN" w:bidi="ar-SA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 w:cs="Times New Roman"/>
                <w:kern w:val="2"/>
                <w:sz w:val="21"/>
                <w:szCs w:val="24"/>
                <w:lang w:val="en-US" w:eastAsia="zh-CN" w:bidi="ar-SA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keepNext w:val="false"/>
              <w:keepLines w:val="false"/>
              <w:widowControl w:val="false"/>
              <w:kinsoku w:val="false"/>
              <w:overflowPunct w:val="false"/>
              <w:autoSpaceDE w:val="true"/>
              <w:bidi w:val="0"/>
              <w:snapToGrid w:val="false"/>
              <w:spacing w:lineRule="auto" w:line="240"/>
              <w:ind w:right="1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 w:cs="Times New Roman" w:ascii="Times New Roman" w:hAnsi="Times New Roman"/>
                <w:kern w:val="2"/>
                <w:sz w:val="24"/>
                <w:szCs w:val="24"/>
                <w:lang w:val="en-US" w:eastAsia="zh-CN" w:bidi="ar-SA"/>
              </w:rPr>
            </w:r>
          </w:p>
        </w:tc>
      </w:tr>
      <w:tr>
        <w:trPr>
          <w:trHeight w:val="526" w:hRule="atLeast"/>
          <w:cantSplit w:val="true"/>
        </w:trPr>
        <w:tc>
          <w:tcPr>
            <w:tcW w:w="2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工业增加值</w:t>
            </w:r>
          </w:p>
          <w:p>
            <w:pPr>
              <w:pStyle w:val="Normal"/>
              <w:keepNext w:val="false"/>
              <w:keepLines w:val="fals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 w:cs="Times New Roman"/>
                <w:kern w:val="2"/>
                <w:sz w:val="21"/>
                <w:szCs w:val="24"/>
                <w:lang w:val="en-US" w:eastAsia="zh-CN" w:bidi="ar-SA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 w:cs="Times New Roman"/>
                <w:kern w:val="2"/>
                <w:sz w:val="21"/>
                <w:szCs w:val="24"/>
                <w:lang w:val="en-US" w:eastAsia="zh-CN" w:bidi="ar-SA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keepNext w:val="false"/>
              <w:keepLines w:val="false"/>
              <w:widowControl w:val="false"/>
              <w:kinsoku w:val="false"/>
              <w:overflowPunct w:val="false"/>
              <w:autoSpaceDE w:val="true"/>
              <w:bidi w:val="0"/>
              <w:snapToGrid w:val="false"/>
              <w:spacing w:lineRule="auto" w:line="240"/>
              <w:ind w:right="1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 w:cs="Times New Roman" w:ascii="Times New Roman" w:hAnsi="Times New Roman"/>
                <w:kern w:val="2"/>
                <w:sz w:val="24"/>
                <w:szCs w:val="24"/>
                <w:lang w:val="en-US" w:eastAsia="zh-CN" w:bidi="ar-SA"/>
              </w:rPr>
            </w:r>
          </w:p>
        </w:tc>
      </w:tr>
      <w:tr>
        <w:trPr>
          <w:trHeight w:val="526" w:hRule="atLeast"/>
          <w:cantSplit w:val="true"/>
        </w:trPr>
        <w:tc>
          <w:tcPr>
            <w:tcW w:w="2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利润总额</w:t>
            </w:r>
          </w:p>
          <w:p>
            <w:pPr>
              <w:pStyle w:val="Normal"/>
              <w:keepNext w:val="false"/>
              <w:keepLines w:val="fals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 w:cs="Times New Roman"/>
                <w:kern w:val="2"/>
                <w:sz w:val="21"/>
                <w:szCs w:val="24"/>
                <w:lang w:val="en-US" w:eastAsia="zh-CN" w:bidi="ar-SA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 w:cs="Times New Roman"/>
                <w:kern w:val="2"/>
                <w:sz w:val="21"/>
                <w:szCs w:val="24"/>
                <w:lang w:val="en-US" w:eastAsia="zh-CN" w:bidi="ar-SA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keepNext w:val="false"/>
              <w:keepLines w:val="false"/>
              <w:widowControl w:val="false"/>
              <w:kinsoku w:val="false"/>
              <w:overflowPunct w:val="false"/>
              <w:autoSpaceDE w:val="true"/>
              <w:bidi w:val="0"/>
              <w:snapToGrid w:val="false"/>
              <w:spacing w:lineRule="auto" w:line="240"/>
              <w:ind w:right="1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 w:cs="Times New Roman" w:ascii="Times New Roman" w:hAnsi="Times New Roman"/>
                <w:kern w:val="2"/>
                <w:sz w:val="24"/>
                <w:szCs w:val="24"/>
                <w:lang w:val="en-US" w:eastAsia="zh-CN" w:bidi="ar-SA"/>
              </w:rPr>
            </w:r>
          </w:p>
        </w:tc>
      </w:tr>
      <w:tr>
        <w:trPr>
          <w:trHeight w:val="526" w:hRule="atLeast"/>
          <w:cantSplit w:val="true"/>
        </w:trPr>
        <w:tc>
          <w:tcPr>
            <w:tcW w:w="2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纳税总额</w:t>
            </w:r>
          </w:p>
          <w:p>
            <w:pPr>
              <w:pStyle w:val="Normal"/>
              <w:keepNext w:val="false"/>
              <w:keepLines w:val="fals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 w:cs="Times New Roman"/>
                <w:kern w:val="2"/>
                <w:sz w:val="21"/>
                <w:szCs w:val="24"/>
                <w:lang w:val="en-US" w:eastAsia="zh-CN" w:bidi="ar-SA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 w:cs="Times New Roman"/>
                <w:kern w:val="2"/>
                <w:sz w:val="21"/>
                <w:szCs w:val="24"/>
                <w:lang w:val="en-US" w:eastAsia="zh-CN" w:bidi="ar-SA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keepNext w:val="false"/>
              <w:keepLines w:val="false"/>
              <w:widowControl w:val="false"/>
              <w:kinsoku w:val="false"/>
              <w:overflowPunct w:val="false"/>
              <w:autoSpaceDE w:val="true"/>
              <w:bidi w:val="0"/>
              <w:snapToGrid w:val="false"/>
              <w:spacing w:lineRule="auto" w:line="240"/>
              <w:ind w:right="1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 w:cs="Times New Roman" w:ascii="Times New Roman" w:hAnsi="Times New Roman"/>
                <w:kern w:val="2"/>
                <w:sz w:val="24"/>
                <w:szCs w:val="24"/>
                <w:lang w:val="en-US" w:eastAsia="zh-CN" w:bidi="ar-SA"/>
              </w:rPr>
            </w:r>
          </w:p>
        </w:tc>
      </w:tr>
      <w:tr>
        <w:trPr>
          <w:trHeight w:val="780" w:hRule="atLeast"/>
          <w:cantSplit w:val="true"/>
        </w:trPr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keepNext w:val="false"/>
              <w:keepLines w:val="false"/>
              <w:autoSpaceDE w:val="true"/>
              <w:bidi w:val="0"/>
              <w:snapToGrid w:val="false"/>
              <w:spacing w:lineRule="auto" w:line="24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仿宋_GB2312"/>
                <w:sz w:val="24"/>
                <w:szCs w:val="24"/>
              </w:rPr>
              <w:t>碳排放</w:t>
            </w:r>
            <w:r>
              <w:rPr>
                <w:rFonts w:cs="Times New Roman" w:eastAsia="仿宋_GB2312"/>
                <w:sz w:val="24"/>
                <w:szCs w:val="24"/>
                <w:lang w:val="en-US" w:eastAsia="zh-CN"/>
              </w:rPr>
              <w:t>总</w:t>
            </w:r>
            <w:r>
              <w:rPr>
                <w:rFonts w:ascii="Times New Roman" w:hAnsi="Times New Roman" w:cs="Times New Roman" w:eastAsia="仿宋_GB2312"/>
                <w:sz w:val="24"/>
                <w:szCs w:val="24"/>
              </w:rPr>
              <w:t>量</w:t>
            </w:r>
          </w:p>
          <w:p>
            <w:pPr>
              <w:pStyle w:val="Normal"/>
              <w:snapToGrid w:val="false"/>
              <w:spacing w:lineRule="auto" w:line="240"/>
              <w:ind w:hanging="0" w:right="0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吨</w:t>
            </w:r>
            <w:r>
              <w:rPr>
                <w:rFonts w:eastAsia="仿宋_GB2312" w:cs="Times New Roman"/>
                <w:sz w:val="24"/>
              </w:rPr>
              <w:t>CO</w:t>
            </w:r>
            <w:r>
              <w:rPr>
                <w:rFonts w:eastAsia="仿宋_GB2312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ind w:hanging="0" w:right="0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eastAsia="仿宋" w:cs="Times New Roman"/>
                <w:kern w:val="0"/>
                <w:sz w:val="24"/>
                <w:lang w:bidi="ar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ind w:hanging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ind w:hanging="0" w:right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r>
          </w:p>
        </w:tc>
      </w:tr>
      <w:tr>
        <w:trPr>
          <w:trHeight w:val="819" w:hRule="atLeast"/>
          <w:cantSplit w:val="true"/>
        </w:trPr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年综合能耗</w:t>
            </w:r>
          </w:p>
          <w:p>
            <w:pPr>
              <w:pStyle w:val="Normal"/>
              <w:snapToGrid w:val="false"/>
              <w:spacing w:lineRule="auto" w:line="240"/>
              <w:ind w:hanging="0" w:right="0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（吨标准煤）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ind w:hanging="0" w:right="0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eastAsia="仿宋" w:cs="Times New Roman"/>
                <w:kern w:val="0"/>
                <w:sz w:val="24"/>
                <w:lang w:bidi="ar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ind w:hanging="0" w:right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ind w:hanging="0" w:right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r>
          </w:p>
        </w:tc>
      </w:tr>
      <w:tr>
        <w:trPr>
          <w:trHeight w:val="2123" w:hRule="atLeast"/>
          <w:cantSplit w:val="true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主要荣誉</w:t>
            </w:r>
          </w:p>
          <w:p>
            <w:pPr>
              <w:pStyle w:val="Normal"/>
              <w:keepNext w:val="false"/>
              <w:keepLines w:val="fals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（可复选）</w:t>
            </w:r>
          </w:p>
        </w:tc>
        <w:tc>
          <w:tcPr>
            <w:tcW w:w="69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autoSpaceDE w:val="true"/>
              <w:bidi w:val="0"/>
              <w:snapToGrid w:val="false"/>
              <w:spacing w:lineRule="auto" w:line="240"/>
              <w:ind w:hanging="0" w:right="0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专精特新小巨人企业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省雄鹰行动培育企业</w:t>
            </w:r>
          </w:p>
          <w:p>
            <w:pPr>
              <w:pStyle w:val="Normal"/>
              <w:keepNext w:val="false"/>
              <w:keepLines w:val="false"/>
              <w:autoSpaceDE w:val="true"/>
              <w:bidi w:val="0"/>
              <w:snapToGrid w:val="false"/>
              <w:spacing w:lineRule="auto" w:line="240"/>
              <w:ind w:hanging="0" w:right="0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省隐形冠军企业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单项冠军企业</w:t>
            </w:r>
          </w:p>
          <w:p>
            <w:pPr>
              <w:pStyle w:val="Normal"/>
              <w:keepNext w:val="false"/>
              <w:keepLines w:val="false"/>
              <w:autoSpaceDE w:val="true"/>
              <w:bidi w:val="0"/>
              <w:snapToGrid w:val="false"/>
              <w:spacing w:lineRule="auto" w:line="240"/>
              <w:ind w:hanging="0" w:right="0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首台套</w:t>
            </w:r>
            <w:r>
              <w:rPr>
                <w:rFonts w:eastAsia="仿宋_GB2312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首批次</w:t>
            </w:r>
            <w:r>
              <w:rPr>
                <w:rFonts w:eastAsia="仿宋_GB2312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首版次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 </w:t>
            </w:r>
            <w:r>
              <w:rPr>
                <w:rFonts w:cs="Times New Roman" w:eastAsia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智能工厂（数字化车间）</w:t>
            </w:r>
          </w:p>
          <w:p>
            <w:pPr>
              <w:pStyle w:val="Normal"/>
              <w:keepNext w:val="false"/>
              <w:keepLines w:val="false"/>
              <w:autoSpaceDE w:val="true"/>
              <w:bidi w:val="0"/>
              <w:snapToGrid w:val="false"/>
              <w:spacing w:lineRule="auto" w:line="240"/>
              <w:ind w:hanging="0" w:right="0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省级企业技术中心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省级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节水型企业</w:t>
            </w:r>
          </w:p>
          <w:p>
            <w:pPr>
              <w:pStyle w:val="Normal"/>
              <w:keepNext w:val="false"/>
              <w:keepLines w:val="false"/>
              <w:autoSpaceDE w:val="true"/>
              <w:bidi w:val="0"/>
              <w:snapToGrid w:val="false"/>
              <w:spacing w:lineRule="auto" w:line="240"/>
              <w:ind w:hanging="0" w:right="0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清洁生产审核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企业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水效领跑者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企业</w:t>
            </w:r>
          </w:p>
          <w:p>
            <w:pPr>
              <w:pStyle w:val="Normal"/>
              <w:keepNext w:val="false"/>
              <w:keepLines w:val="false"/>
              <w:autoSpaceDE w:val="true"/>
              <w:bidi w:val="0"/>
              <w:snapToGrid w:val="false"/>
              <w:spacing w:lineRule="auto" w:line="240"/>
              <w:ind w:hanging="0" w:right="0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绿色供应链管理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企业</w:t>
            </w:r>
          </w:p>
        </w:tc>
      </w:tr>
      <w:tr>
        <w:trPr>
          <w:trHeight w:val="526" w:hRule="atLeast"/>
          <w:cantSplit w:val="true"/>
        </w:trPr>
        <w:tc>
          <w:tcPr>
            <w:tcW w:w="9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ind w:hanging="0" w:right="0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ascii="Times New Roman" w:hAnsi="Times New Roman" w:cs="Times New Roman" w:eastAsia="黑体"/>
                <w:kern w:val="0"/>
                <w:sz w:val="28"/>
                <w:szCs w:val="28"/>
                <w:lang w:val="en-US" w:eastAsia="zh-CN" w:bidi="ar"/>
              </w:rPr>
              <w:t>二、建设方案基本信息</w:t>
            </w:r>
          </w:p>
        </w:tc>
      </w:tr>
      <w:tr>
        <w:trPr>
          <w:trHeight w:val="526" w:hRule="atLeast"/>
          <w:cantSplit w:val="true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方案实施周期</w:t>
            </w: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 w:eastAsia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 w:eastAsia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至</w:t>
            </w:r>
            <w:r>
              <w:rPr>
                <w:rFonts w:ascii="Times New Roman" w:hAnsi="Times New Roman" w:cs="Times New Roman" w:eastAsia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 w:eastAsia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方案总投资</w:t>
            </w:r>
          </w:p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r>
          </w:p>
        </w:tc>
      </w:tr>
      <w:tr>
        <w:trPr>
          <w:trHeight w:val="526" w:hRule="atLeast"/>
          <w:cantSplit w:val="true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行业先进值及引用标准</w:t>
            </w:r>
          </w:p>
        </w:tc>
        <w:tc>
          <w:tcPr>
            <w:tcW w:w="69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r>
          </w:p>
        </w:tc>
      </w:tr>
      <w:tr>
        <w:trPr>
          <w:trHeight w:val="526" w:hRule="atLeast"/>
          <w:cantSplit w:val="true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培育建设实施前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培育建设实施后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实施成效</w:t>
            </w:r>
          </w:p>
        </w:tc>
      </w:tr>
      <w:tr>
        <w:trPr>
          <w:trHeight w:val="526" w:hRule="atLeast"/>
          <w:cantSplit w:val="true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tabs>
                <w:tab w:val="left" w:pos="420" w:leader="none"/>
              </w:tabs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position w:val="0"/>
                <w:sz w:val="24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2"/>
                <w:position w:val="0"/>
                <w:sz w:val="24"/>
                <w:sz w:val="24"/>
                <w:szCs w:val="21"/>
                <w:vertAlign w:val="baseline"/>
                <w:lang w:val="en-US" w:eastAsia="zh-CN" w:bidi="ar-SA"/>
              </w:rPr>
              <w:t>单位产品（工业增加值）能耗量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-SA"/>
              </w:rPr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降低</w:t>
            </w:r>
            <w:r>
              <w:rPr>
                <w:rFonts w:ascii="Times New Roman" w:hAnsi="Times New Roman" w:cs="Times New Roman" w:eastAsia="Times New Roman"/>
                <w:sz w:val="24"/>
                <w:szCs w:val="32"/>
              </w:rPr>
              <w:t xml:space="preserve">  </w:t>
            </w:r>
            <w:r>
              <w:rPr>
                <w:rFonts w:eastAsia="仿宋_GB2312" w:cs="Times New Roman"/>
                <w:sz w:val="24"/>
                <w:szCs w:val="32"/>
              </w:rPr>
              <w:t>%</w:t>
            </w:r>
          </w:p>
        </w:tc>
      </w:tr>
      <w:tr>
        <w:trPr>
          <w:trHeight w:val="526" w:hRule="atLeast"/>
          <w:cantSplit w:val="true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tabs>
                <w:tab w:val="left" w:pos="420" w:leader="none"/>
              </w:tabs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left="0" w:right="28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position w:val="0"/>
                <w:sz w:val="24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1"/>
                <w:lang w:val="en-US" w:eastAsia="zh-CN" w:bidi="ar-SA"/>
              </w:rPr>
              <w:t>单位产品（工业增加值）碳排放量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-SA"/>
              </w:rPr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降低</w:t>
            </w:r>
            <w:r>
              <w:rPr>
                <w:rFonts w:ascii="Times New Roman" w:hAnsi="Times New Roman" w:cs="Times New Roman" w:eastAsia="Times New Roman"/>
                <w:sz w:val="24"/>
                <w:szCs w:val="32"/>
              </w:rPr>
              <w:t xml:space="preserve">  </w:t>
            </w:r>
            <w:r>
              <w:rPr>
                <w:rFonts w:eastAsia="仿宋_GB2312" w:cs="Times New Roman"/>
                <w:sz w:val="24"/>
                <w:szCs w:val="32"/>
              </w:rPr>
              <w:t>%</w:t>
            </w:r>
          </w:p>
        </w:tc>
      </w:tr>
      <w:tr>
        <w:trPr>
          <w:trHeight w:val="526" w:hRule="atLeast"/>
          <w:cantSplit w:val="true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tabs>
                <w:tab w:val="left" w:pos="420" w:leader="none"/>
              </w:tabs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left="0" w:right="28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position w:val="0"/>
                <w:sz w:val="24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1"/>
                <w:lang w:val="en-US" w:eastAsia="zh-CN" w:bidi="ar-SA"/>
              </w:rPr>
              <w:t>单位产品原材料使用量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-SA"/>
              </w:rPr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降低</w:t>
            </w:r>
            <w:r>
              <w:rPr>
                <w:rFonts w:ascii="Times New Roman" w:hAnsi="Times New Roman" w:cs="Times New Roman" w:eastAsia="Times New Roman"/>
                <w:sz w:val="24"/>
                <w:szCs w:val="32"/>
              </w:rPr>
              <w:t xml:space="preserve">  </w:t>
            </w:r>
            <w:r>
              <w:rPr>
                <w:rFonts w:eastAsia="仿宋_GB2312" w:cs="Times New Roman"/>
                <w:sz w:val="24"/>
                <w:szCs w:val="32"/>
              </w:rPr>
              <w:t>%</w:t>
            </w:r>
          </w:p>
        </w:tc>
      </w:tr>
      <w:tr>
        <w:trPr>
          <w:trHeight w:val="526" w:hRule="atLeast"/>
          <w:cantSplit w:val="true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tabs>
                <w:tab w:val="left" w:pos="420" w:leader="none"/>
              </w:tabs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left="0" w:right="28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1"/>
                <w:lang w:val="en-US" w:eastAsia="zh-CN" w:bidi="ar-SA"/>
              </w:rPr>
              <w:t>单位产品取水量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降低</w:t>
            </w:r>
            <w:r>
              <w:rPr>
                <w:rFonts w:ascii="Times New Roman" w:hAnsi="Times New Roman" w:cs="Times New Roman" w:eastAsia="Times New Roman"/>
                <w:sz w:val="24"/>
                <w:szCs w:val="32"/>
              </w:rPr>
              <w:t xml:space="preserve">  </w:t>
            </w:r>
            <w:r>
              <w:rPr>
                <w:rFonts w:eastAsia="仿宋_GB2312" w:cs="Times New Roman"/>
                <w:sz w:val="24"/>
                <w:szCs w:val="32"/>
              </w:rPr>
              <w:t>%</w:t>
            </w:r>
          </w:p>
        </w:tc>
      </w:tr>
      <w:tr>
        <w:trPr>
          <w:trHeight w:val="526" w:hRule="atLeast"/>
          <w:cantSplit w:val="true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tabs>
                <w:tab w:val="left" w:pos="420" w:leader="none"/>
              </w:tabs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left="0" w:right="28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1"/>
                <w:lang w:val="en-US" w:eastAsia="zh-CN" w:bidi="ar-SA"/>
              </w:rPr>
              <w:t>可再生能源使用占比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提高</w:t>
            </w:r>
            <w:r>
              <w:rPr>
                <w:rFonts w:ascii="Times New Roman" w:hAnsi="Times New Roman" w:cs="Times New Roman" w:eastAsia="Times New Roman"/>
                <w:sz w:val="24"/>
                <w:szCs w:val="32"/>
              </w:rPr>
              <w:t xml:space="preserve">  </w:t>
            </w:r>
            <w:r>
              <w:rPr>
                <w:rFonts w:eastAsia="仿宋_GB2312" w:cs="Times New Roman"/>
                <w:sz w:val="24"/>
                <w:szCs w:val="32"/>
              </w:rPr>
              <w:t>%</w:t>
            </w:r>
          </w:p>
        </w:tc>
      </w:tr>
      <w:tr>
        <w:trPr>
          <w:trHeight w:val="526" w:hRule="atLeast"/>
          <w:cantSplit w:val="true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碳抵消率（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提高</w:t>
            </w:r>
            <w:r>
              <w:rPr>
                <w:rFonts w:ascii="Times New Roman" w:hAnsi="Times New Roman" w:cs="Times New Roman" w:eastAsia="Times New Roman"/>
                <w:sz w:val="24"/>
                <w:szCs w:val="32"/>
              </w:rPr>
              <w:t xml:space="preserve">  </w:t>
            </w:r>
            <w:r>
              <w:rPr>
                <w:rFonts w:eastAsia="仿宋_GB2312" w:cs="Times New Roman"/>
                <w:sz w:val="24"/>
                <w:szCs w:val="32"/>
              </w:rPr>
              <w:t>%</w:t>
            </w:r>
          </w:p>
        </w:tc>
      </w:tr>
      <w:tr>
        <w:trPr>
          <w:trHeight w:val="1727" w:hRule="atLeast"/>
          <w:cantSplit w:val="true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开展零碳（近零碳）工厂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建设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主要举措与成效</w:t>
            </w:r>
          </w:p>
        </w:tc>
        <w:tc>
          <w:tcPr>
            <w:tcW w:w="69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（对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零碳</w:t>
            </w:r>
            <w:r>
              <w:rPr>
                <w:rFonts w:eastAsia="仿宋_GB2312" w:cs="Times New Roman"/>
                <w:color w:val="000000"/>
                <w:kern w:val="0"/>
                <w:sz w:val="24"/>
                <w:lang w:val="en" w:eastAsia="zh-CN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近零碳</w:t>
            </w:r>
            <w:r>
              <w:rPr>
                <w:rFonts w:eastAsia="仿宋_GB2312" w:cs="Times New Roman"/>
                <w:color w:val="000000"/>
                <w:kern w:val="0"/>
                <w:sz w:val="24"/>
                <w:lang w:val="en" w:eastAsia="zh-CN"/>
              </w:rPr>
              <w:t>&gt;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工厂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建设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主要举措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、建设成效、特色亮点等进行简要描述）</w:t>
            </w:r>
          </w:p>
        </w:tc>
      </w:tr>
      <w:tr>
        <w:trPr>
          <w:trHeight w:val="2817" w:hRule="atLeast"/>
          <w:cantSplit w:val="true"/>
        </w:trPr>
        <w:tc>
          <w:tcPr>
            <w:tcW w:w="9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/>
              <w:ind w:hanging="0" w:right="0"/>
              <w:rPr>
                <w:rFonts w:ascii="Times New Roman" w:hAnsi="Times New Roman" w:eastAsia="仿宋_GB2312" w:cs="Times New Roman"/>
                <w:b w:val="false"/>
                <w:bCs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 w:val="false"/>
                <w:bCs/>
                <w:kern w:val="0"/>
                <w:sz w:val="24"/>
              </w:rPr>
              <w:t>材料真实性承诺</w:t>
            </w:r>
            <w:r>
              <w:rPr>
                <w:rFonts w:eastAsia="仿宋_GB2312" w:cs="Times New Roman"/>
                <w:b w:val="false"/>
                <w:bCs/>
                <w:kern w:val="0"/>
                <w:sz w:val="24"/>
              </w:rPr>
              <w:t>:</w:t>
            </w:r>
          </w:p>
          <w:p>
            <w:pPr>
              <w:pStyle w:val="BodyText"/>
              <w:snapToGrid w:val="false"/>
              <w:spacing w:lineRule="auto" w:line="240"/>
              <w:ind w:right="0"/>
              <w:rPr>
                <w:rFonts w:ascii="Times New Roman" w:hAnsi="Times New Roman" w:eastAsia="仿宋_GB2312" w:cs="Times New Roman"/>
                <w:b w:val="false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 w:cs="Times New Roman" w:ascii="Times New Roman" w:hAnsi="Times New Roman"/>
                <w:b w:val="false"/>
                <w:bCs/>
                <w:kern w:val="0"/>
                <w:sz w:val="24"/>
              </w:rPr>
            </w:r>
          </w:p>
          <w:p>
            <w:pPr>
              <w:pStyle w:val="Normal"/>
              <w:snapToGrid w:val="false"/>
              <w:spacing w:lineRule="auto" w:line="240"/>
              <w:ind w:hanging="0" w:right="0"/>
              <w:rPr>
                <w:rFonts w:ascii="Times New Roman" w:hAnsi="Times New Roman" w:eastAsia="仿宋_GB2312" w:cs="Times New Roman"/>
                <w:b w:val="false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 w:cs="Times New Roman"/>
                <w:b w:val="false"/>
                <w:bCs/>
                <w:kern w:val="0"/>
                <w:sz w:val="24"/>
              </w:rPr>
            </w:r>
          </w:p>
          <w:p>
            <w:pPr>
              <w:pStyle w:val="BodyText"/>
              <w:snapToGrid w:val="false"/>
              <w:spacing w:lineRule="auto" w:line="240"/>
              <w:ind w:right="0"/>
              <w:rPr>
                <w:rFonts w:ascii="Times New Roman" w:hAnsi="Times New Roman" w:eastAsia="仿宋_GB2312" w:cs="Times New Roman"/>
                <w:b w:val="false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 w:cs="Times New Roman" w:ascii="Times New Roman" w:hAnsi="Times New Roman"/>
                <w:b w:val="false"/>
                <w:bCs/>
                <w:kern w:val="0"/>
                <w:sz w:val="24"/>
              </w:rPr>
            </w:r>
          </w:p>
          <w:p>
            <w:pPr>
              <w:pStyle w:val="Style15"/>
              <w:rPr>
                <w:rFonts w:ascii="Calibri;DejaVu Sans" w:hAnsi="Calibri;DejaVu Sans" w:eastAsia="仿宋_GB2312" w:cs="Times New Roman"/>
                <w:bCs/>
              </w:rPr>
            </w:pPr>
            <w:r>
              <w:rPr>
                <w:rFonts w:eastAsia="仿宋_GB2312" w:cs="Times New Roman"/>
                <w:bCs/>
              </w:rPr>
            </w:r>
          </w:p>
          <w:p>
            <w:pPr>
              <w:pStyle w:val="Normal"/>
              <w:widowControl/>
              <w:snapToGrid w:val="false"/>
              <w:spacing w:lineRule="auto" w:line="240"/>
              <w:ind w:firstLine="496" w:right="0"/>
              <w:rPr>
                <w:rFonts w:ascii="Times New Roman" w:hAnsi="Times New Roman" w:eastAsia="仿宋_GB2312" w:cs="Times New Roman"/>
                <w:bCs/>
                <w:kern w:val="0"/>
                <w:sz w:val="24"/>
                <w:highlight w:val="none"/>
              </w:rPr>
            </w:pPr>
            <w:r>
              <w:rPr>
                <w:rFonts w:eastAsia="仿宋_GB2312" w:cs="Times New Roman"/>
                <w:bCs/>
                <w:kern w:val="0"/>
                <w:sz w:val="24"/>
              </w:rPr>
            </w:r>
          </w:p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b w:val="false"/>
                <w:bCs/>
                <w:kern w:val="0"/>
                <w:sz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 w:val="false"/>
                <w:bCs/>
                <w:kern w:val="0"/>
                <w:sz w:val="24"/>
              </w:rPr>
              <w:t>法人或单位负责人签字：</w:t>
            </w:r>
            <w:r>
              <w:rPr>
                <w:rFonts w:ascii="Times New Roman" w:hAnsi="Times New Roman" w:cs="Times New Roman" w:eastAsia="Times New Roman"/>
                <w:b w:val="false"/>
                <w:bCs/>
                <w:kern w:val="0"/>
                <w:sz w:val="24"/>
              </w:rPr>
              <w:t xml:space="preserve">          </w:t>
            </w:r>
          </w:p>
          <w:p>
            <w:pPr>
              <w:pStyle w:val="Normal"/>
              <w:widowControl/>
              <w:snapToGrid w:val="false"/>
              <w:spacing w:lineRule="auto" w:line="240"/>
              <w:ind w:hanging="0" w:right="0"/>
              <w:rPr>
                <w:rFonts w:ascii="Times New Roman" w:hAnsi="Times New Roman" w:eastAsia="仿宋_GB2312" w:cs="Times New Roman"/>
                <w:b w:val="false"/>
                <w:bCs/>
                <w:kern w:val="0"/>
                <w:sz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/>
                <w:kern w:val="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 w:val="false"/>
                <w:bCs/>
                <w:kern w:val="0"/>
                <w:sz w:val="24"/>
              </w:rPr>
              <w:t>（</w:t>
            </w:r>
            <w:r>
              <w:rPr>
                <w:rFonts w:ascii="Times New Roman" w:hAnsi="Times New Roman" w:cs="Times New Roman"/>
                <w:b w:val="false"/>
                <w:bCs/>
                <w:kern w:val="0"/>
                <w:sz w:val="24"/>
                <w:lang w:eastAsia="zh-CN"/>
              </w:rPr>
              <w:t>公</w:t>
            </w:r>
            <w:r>
              <w:rPr>
                <w:rFonts w:ascii="Times New Roman" w:hAnsi="Times New Roman" w:cs="Times New Roman"/>
                <w:b w:val="false"/>
                <w:bCs/>
                <w:kern w:val="0"/>
                <w:sz w:val="24"/>
              </w:rPr>
              <w:t>章）</w:t>
            </w:r>
          </w:p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/>
                <w:kern w:val="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 w:val="false"/>
                <w:bCs/>
                <w:kern w:val="0"/>
                <w:sz w:val="24"/>
              </w:rPr>
              <w:t>日期：</w:t>
            </w:r>
            <w:r>
              <w:rPr>
                <w:rFonts w:ascii="Times New Roman" w:hAnsi="Times New Roman" w:cs="Times New Roman" w:eastAsia="Times New Roman"/>
                <w:b w:val="false"/>
                <w:bCs/>
                <w:kern w:val="0"/>
                <w:sz w:val="24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b/>
                <w:kern w:val="0"/>
                <w:sz w:val="24"/>
              </w:rPr>
              <w:t xml:space="preserve"> </w:t>
            </w:r>
          </w:p>
          <w:p>
            <w:pPr>
              <w:pStyle w:val="Normal"/>
              <w:widowControl/>
              <w:snapToGrid w:val="false"/>
              <w:spacing w:lineRule="auto" w:line="240"/>
              <w:ind w:hanging="0" w:right="0"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</w:rPr>
              <w:t xml:space="preserve">         </w:t>
            </w:r>
          </w:p>
        </w:tc>
      </w:tr>
    </w:tbl>
    <w:p>
      <w:pPr>
        <w:sectPr>
          <w:footerReference w:type="default" r:id="rId7"/>
          <w:footerReference w:type="first" r:id="rId8"/>
          <w:type w:val="nextPage"/>
          <w:pgSz w:w="11906" w:h="16838"/>
          <w:pgMar w:left="1587" w:right="1587" w:gutter="0" w:header="0" w:top="1814" w:footer="1134" w:bottom="1587"/>
          <w:pgNumType w:fmt="decimal"/>
          <w:formProt w:val="false"/>
          <w:textDirection w:val="lrTb"/>
          <w:docGrid w:type="lines" w:linePitch="312" w:charSpace="0"/>
        </w:sectPr>
      </w:pPr>
      <w:r>
        <w:br w:type="page"/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false"/>
        <w:spacing w:lineRule="exact" w:line="600" w:before="0" w:after="0"/>
        <w:ind w:hanging="0" w:left="621" w:right="0"/>
        <w:textAlignment w:val="auto"/>
        <w:rPr>
          <w:rFonts w:ascii="Times New Roman" w:hAnsi="Times New Roman" w:eastAsia="黑体" w:cs="Times New Roman"/>
          <w:color w:val="000000"/>
          <w:spacing w:val="-4"/>
          <w:sz w:val="32"/>
          <w:szCs w:val="32"/>
          <w:lang w:val="en-US" w:eastAsia="zh-CN"/>
        </w:rPr>
      </w:pPr>
      <w:r>
        <w:rPr>
          <w:rFonts w:ascii="Times New Roman" w:hAnsi="Times New Roman" w:cs="Times New Roman" w:eastAsia="黑体"/>
          <w:color w:val="000000"/>
          <w:spacing w:val="-4"/>
          <w:sz w:val="32"/>
          <w:szCs w:val="32"/>
        </w:rPr>
        <w:t>一、</w:t>
      </w:r>
      <w:r>
        <w:rPr>
          <w:rFonts w:ascii="Times New Roman" w:hAnsi="Times New Roman" w:cs="Times New Roman" w:eastAsia="黑体"/>
          <w:color w:val="000000"/>
          <w:spacing w:val="-4"/>
          <w:sz w:val="32"/>
          <w:szCs w:val="32"/>
          <w:lang w:val="en-US" w:eastAsia="zh-CN"/>
        </w:rPr>
        <w:t>培育建设</w:t>
      </w:r>
      <w:r>
        <w:rPr>
          <w:rFonts w:ascii="Times New Roman" w:hAnsi="Times New Roman" w:cs="Times New Roman" w:eastAsia="黑体"/>
          <w:color w:val="000000"/>
          <w:spacing w:val="-4"/>
          <w:sz w:val="32"/>
          <w:szCs w:val="32"/>
          <w:lang w:val="en-US" w:eastAsia="zh-CN"/>
        </w:rPr>
        <w:t>基础与现状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tabs>
          <w:tab w:val="left" w:pos="420" w:leader="none"/>
        </w:tabs>
        <w:kinsoku w:val="true"/>
        <w:overflowPunct w:val="true"/>
        <w:autoSpaceDE w:val="true"/>
        <w:bidi w:val="0"/>
        <w:snapToGrid w:val="true"/>
        <w:spacing w:lineRule="exact" w:line="600"/>
        <w:ind w:firstLine="640" w:left="0" w:right="28"/>
        <w:textAlignment w:val="auto"/>
        <w:rPr>
          <w:rFonts w:ascii="Times New Roman" w:hAnsi="Times New Roman" w:eastAsia="仿宋_GB2312" w:cs="Times New Roman"/>
          <w:sz w:val="32"/>
          <w:lang w:val="en-US" w:eastAsia="zh-CN"/>
        </w:rPr>
      </w:pPr>
      <w:r>
        <w:rPr>
          <w:rFonts w:ascii="Times New Roman" w:hAnsi="Times New Roman" w:cs="Times New Roman" w:eastAsia="楷体_GB2312;楷体"/>
          <w:b w:val="false"/>
          <w:bCs w:val="false"/>
          <w:sz w:val="32"/>
          <w:lang w:eastAsia="zh-CN"/>
        </w:rPr>
        <w:t>（一）</w:t>
      </w:r>
      <w:r>
        <w:rPr>
          <w:rFonts w:ascii="Times New Roman" w:hAnsi="Times New Roman" w:cs="Times New Roman" w:eastAsia="楷体_GB2312;楷体"/>
          <w:b w:val="false"/>
          <w:bCs w:val="false"/>
          <w:sz w:val="32"/>
          <w:lang w:val="en-US" w:eastAsia="zh-CN"/>
        </w:rPr>
        <w:t>单位</w:t>
      </w:r>
      <w:r>
        <w:rPr>
          <w:rFonts w:ascii="Times New Roman" w:hAnsi="Times New Roman" w:cs="Times New Roman" w:eastAsia="楷体_GB2312;楷体"/>
          <w:b w:val="false"/>
          <w:bCs w:val="false"/>
          <w:sz w:val="32"/>
          <w:lang w:eastAsia="zh-CN"/>
        </w:rPr>
        <w:t>概况。</w:t>
      </w:r>
      <w:r>
        <w:rPr>
          <w:rFonts w:ascii="Times New Roman" w:hAnsi="Times New Roman" w:cs="Times New Roman"/>
          <w:sz w:val="32"/>
          <w:lang w:eastAsia="zh-CN"/>
        </w:rPr>
        <w:t>简述</w:t>
      </w:r>
      <w:r>
        <w:rPr>
          <w:rFonts w:ascii="Times New Roman" w:hAnsi="Times New Roman" w:cs="Times New Roman"/>
          <w:sz w:val="32"/>
          <w:lang w:val="en-US" w:eastAsia="zh-CN"/>
        </w:rPr>
        <w:t>企业基本信息、工艺产品、绿色发展主要荣誉等。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tabs>
          <w:tab w:val="left" w:pos="420" w:leader="none"/>
        </w:tabs>
        <w:kinsoku w:val="true"/>
        <w:overflowPunct w:val="true"/>
        <w:autoSpaceDE w:val="true"/>
        <w:bidi w:val="0"/>
        <w:snapToGrid w:val="true"/>
        <w:spacing w:lineRule="exact" w:line="600"/>
        <w:ind w:firstLine="640" w:left="0" w:right="28"/>
        <w:textAlignment w:val="auto"/>
        <w:rPr>
          <w:rFonts w:ascii="Times New Roman" w:hAnsi="Times New Roman" w:eastAsia="仿宋_GB2312" w:cs="Times New Roman"/>
          <w:sz w:val="32"/>
          <w:lang w:eastAsia="zh-CN"/>
        </w:rPr>
      </w:pPr>
      <w:r>
        <w:rPr>
          <w:rFonts w:ascii="Times New Roman" w:hAnsi="Times New Roman" w:cs="Times New Roman" w:eastAsia="楷体_GB2312;楷体"/>
          <w:b w:val="false"/>
          <w:bCs w:val="false"/>
          <w:sz w:val="32"/>
          <w:lang w:eastAsia="zh-CN"/>
        </w:rPr>
        <w:t>（</w:t>
      </w:r>
      <w:r>
        <w:rPr>
          <w:rFonts w:ascii="Times New Roman" w:hAnsi="Times New Roman" w:cs="Times New Roman" w:eastAsia="楷体_GB2312;楷体"/>
          <w:b w:val="false"/>
          <w:bCs w:val="false"/>
          <w:sz w:val="32"/>
          <w:lang w:val="en-US" w:eastAsia="zh-CN"/>
        </w:rPr>
        <w:t>二</w:t>
      </w:r>
      <w:r>
        <w:rPr>
          <w:rFonts w:ascii="Times New Roman" w:hAnsi="Times New Roman" w:cs="Times New Roman" w:eastAsia="楷体_GB2312;楷体"/>
          <w:b w:val="false"/>
          <w:bCs w:val="false"/>
          <w:sz w:val="32"/>
          <w:lang w:eastAsia="zh-CN"/>
        </w:rPr>
        <w:t>）绿色低碳</w:t>
      </w:r>
      <w:r>
        <w:rPr>
          <w:rFonts w:ascii="Times New Roman" w:hAnsi="Times New Roman" w:cs="Times New Roman" w:eastAsia="楷体_GB2312;楷体"/>
          <w:b w:val="false"/>
          <w:bCs w:val="false"/>
          <w:sz w:val="32"/>
          <w:lang w:val="en-US" w:eastAsia="zh-CN"/>
        </w:rPr>
        <w:t>工作</w:t>
      </w:r>
      <w:r>
        <w:rPr>
          <w:rFonts w:ascii="Times New Roman" w:hAnsi="Times New Roman" w:cs="Times New Roman" w:eastAsia="楷体_GB2312;楷体"/>
          <w:b w:val="false"/>
          <w:bCs w:val="false"/>
          <w:sz w:val="32"/>
          <w:lang w:eastAsia="zh-CN"/>
        </w:rPr>
        <w:t>基础。</w:t>
      </w:r>
      <w:r>
        <w:rPr>
          <w:rFonts w:ascii="Times New Roman" w:hAnsi="Times New Roman" w:cs="Times New Roman"/>
          <w:sz w:val="32"/>
          <w:lang w:val="en-US" w:eastAsia="zh-CN"/>
        </w:rPr>
        <w:t>简述企业</w:t>
      </w:r>
      <w:r>
        <w:rPr>
          <w:rFonts w:ascii="Times New Roman" w:hAnsi="Times New Roman" w:cs="Times New Roman"/>
          <w:sz w:val="32"/>
          <w:lang w:val="en-US" w:eastAsia="zh-CN"/>
        </w:rPr>
        <w:t>在工艺设备优化、</w:t>
      </w:r>
      <w:r>
        <w:rPr>
          <w:rFonts w:ascii="Times New Roman" w:hAnsi="Times New Roman" w:cs="Times New Roman"/>
          <w:sz w:val="32"/>
          <w:lang w:val="en-US" w:eastAsia="zh-CN"/>
        </w:rPr>
        <w:t>用能管理、能源结构优化、节能降碳措施、碳</w:t>
      </w:r>
      <w:r>
        <w:rPr>
          <w:rFonts w:ascii="Times New Roman" w:hAnsi="Times New Roman" w:cs="Times New Roman"/>
          <w:sz w:val="32"/>
          <w:lang w:val="en-US" w:eastAsia="zh-CN"/>
        </w:rPr>
        <w:t>排放管理</w:t>
      </w:r>
      <w:r>
        <w:rPr>
          <w:rFonts w:ascii="Times New Roman" w:hAnsi="Times New Roman" w:cs="Times New Roman"/>
          <w:sz w:val="32"/>
          <w:lang w:val="en-US" w:eastAsia="zh-CN"/>
        </w:rPr>
        <w:t>、碳抵消等方面</w:t>
      </w:r>
      <w:r>
        <w:rPr>
          <w:rFonts w:ascii="Times New Roman" w:hAnsi="Times New Roman" w:cs="Times New Roman"/>
          <w:sz w:val="32"/>
          <w:lang w:eastAsia="zh-CN"/>
        </w:rPr>
        <w:t>重点工作及</w:t>
      </w:r>
      <w:r>
        <w:rPr>
          <w:rFonts w:ascii="Times New Roman" w:hAnsi="Times New Roman" w:cs="Times New Roman"/>
          <w:sz w:val="32"/>
          <w:lang w:val="en-US" w:eastAsia="zh-CN"/>
        </w:rPr>
        <w:t>现状</w:t>
      </w:r>
      <w:r>
        <w:rPr>
          <w:rFonts w:ascii="Times New Roman" w:hAnsi="Times New Roman" w:cs="Times New Roman"/>
          <w:sz w:val="32"/>
          <w:lang w:eastAsia="zh-CN"/>
        </w:rPr>
        <w:t>。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tabs>
          <w:tab w:val="left" w:pos="420" w:leader="none"/>
        </w:tabs>
        <w:kinsoku w:val="true"/>
        <w:overflowPunct w:val="true"/>
        <w:autoSpaceDE w:val="true"/>
        <w:bidi w:val="0"/>
        <w:snapToGrid w:val="true"/>
        <w:spacing w:lineRule="exact" w:line="600"/>
        <w:ind w:firstLine="640" w:left="0" w:right="28"/>
        <w:textAlignment w:val="auto"/>
        <w:rPr>
          <w:rFonts w:ascii="Times New Roman" w:hAnsi="Times New Roman" w:eastAsia="宋体;方正书宋_GBK" w:cs="Times New Roman"/>
          <w:sz w:val="21"/>
          <w:lang w:val="en-US" w:eastAsia="zh-CN"/>
        </w:rPr>
      </w:pPr>
      <w:r>
        <w:rPr>
          <w:rFonts w:ascii="Times New Roman" w:hAnsi="Times New Roman" w:cs="Times New Roman" w:eastAsia="楷体_GB2312;楷体"/>
          <w:b w:val="false"/>
          <w:bCs w:val="false"/>
          <w:sz w:val="32"/>
          <w:lang w:eastAsia="zh-CN"/>
        </w:rPr>
        <w:t>（</w:t>
      </w:r>
      <w:r>
        <w:rPr>
          <w:rFonts w:ascii="Times New Roman" w:hAnsi="Times New Roman" w:cs="Times New Roman" w:eastAsia="楷体_GB2312;楷体"/>
          <w:b w:val="false"/>
          <w:bCs w:val="false"/>
          <w:sz w:val="32"/>
          <w:lang w:val="en-US" w:eastAsia="zh-CN"/>
        </w:rPr>
        <w:t>三</w:t>
      </w:r>
      <w:r>
        <w:rPr>
          <w:rFonts w:ascii="Times New Roman" w:hAnsi="Times New Roman" w:cs="Times New Roman" w:eastAsia="楷体_GB2312;楷体"/>
          <w:b w:val="false"/>
          <w:bCs w:val="false"/>
          <w:sz w:val="32"/>
          <w:lang w:eastAsia="zh-CN"/>
        </w:rPr>
        <w:t>）能耗和碳排放</w:t>
      </w:r>
      <w:r>
        <w:rPr>
          <w:rFonts w:ascii="Times New Roman" w:hAnsi="Times New Roman" w:cs="Times New Roman" w:eastAsia="楷体_GB2312;楷体"/>
          <w:b w:val="false"/>
          <w:bCs w:val="false"/>
          <w:sz w:val="32"/>
          <w:lang w:val="en-US" w:eastAsia="zh-CN"/>
        </w:rPr>
        <w:t>现状</w:t>
      </w:r>
      <w:r>
        <w:rPr>
          <w:rFonts w:ascii="Times New Roman" w:hAnsi="Times New Roman" w:cs="Times New Roman" w:eastAsia="楷体_GB2312;楷体"/>
          <w:b w:val="false"/>
          <w:bCs w:val="false"/>
          <w:sz w:val="32"/>
          <w:lang w:eastAsia="zh-CN"/>
        </w:rPr>
        <w:t>。</w:t>
      </w:r>
      <w:r>
        <w:rPr>
          <w:rFonts w:ascii="Times New Roman" w:hAnsi="Times New Roman" w:cs="Times New Roman"/>
          <w:sz w:val="32"/>
          <w:lang w:val="en-US" w:eastAsia="zh-CN"/>
        </w:rPr>
        <w:t>简述企业近</w:t>
      </w:r>
      <w:r>
        <w:rPr>
          <w:rFonts w:eastAsia="仿宋_GB2312" w:cs="Times New Roman"/>
          <w:sz w:val="32"/>
          <w:lang w:val="en-US" w:eastAsia="zh-CN"/>
        </w:rPr>
        <w:t>3</w:t>
      </w:r>
      <w:r>
        <w:rPr>
          <w:rFonts w:ascii="Times New Roman" w:hAnsi="Times New Roman" w:cs="Times New Roman"/>
          <w:sz w:val="32"/>
          <w:lang w:val="en-US" w:eastAsia="zh-CN"/>
        </w:rPr>
        <w:t>年能源消费量、单位产品（</w:t>
      </w:r>
      <w:r>
        <w:rPr>
          <w:rFonts w:ascii="Times New Roman" w:hAnsi="Times New Roman" w:cs="Times New Roman"/>
          <w:kern w:val="2"/>
          <w:sz w:val="32"/>
          <w:szCs w:val="24"/>
          <w:lang w:val="en-US" w:eastAsia="zh-CN" w:bidi="ar-SA"/>
        </w:rPr>
        <w:t>工业</w:t>
      </w:r>
      <w:r>
        <w:rPr>
          <w:rFonts w:ascii="Times New Roman" w:hAnsi="Times New Roman" w:cs="Times New Roman"/>
          <w:sz w:val="32"/>
          <w:lang w:val="en-US" w:eastAsia="zh-CN"/>
        </w:rPr>
        <w:t>增加值</w:t>
      </w:r>
      <w:r>
        <w:rPr>
          <w:rFonts w:ascii="Times New Roman" w:hAnsi="Times New Roman" w:cs="Times New Roman"/>
          <w:sz w:val="32"/>
          <w:lang w:val="en-US" w:eastAsia="zh-CN"/>
        </w:rPr>
        <w:t>）能耗量以及能源消费结构，资源消耗量及单位产品（</w:t>
      </w:r>
      <w:r>
        <w:rPr>
          <w:rFonts w:ascii="Times New Roman" w:hAnsi="Times New Roman" w:cs="Times New Roman"/>
          <w:kern w:val="2"/>
          <w:sz w:val="32"/>
          <w:szCs w:val="24"/>
          <w:lang w:val="en-US" w:eastAsia="zh-CN" w:bidi="ar-SA"/>
        </w:rPr>
        <w:t>工业</w:t>
      </w:r>
      <w:r>
        <w:rPr>
          <w:rFonts w:ascii="Times New Roman" w:hAnsi="Times New Roman" w:cs="Times New Roman"/>
          <w:sz w:val="32"/>
          <w:lang w:val="en-US" w:eastAsia="zh-CN"/>
        </w:rPr>
        <w:t>增加值</w:t>
      </w:r>
      <w:r>
        <w:rPr>
          <w:rFonts w:ascii="Times New Roman" w:hAnsi="Times New Roman" w:cs="Times New Roman"/>
          <w:sz w:val="32"/>
          <w:lang w:val="en-US" w:eastAsia="zh-CN"/>
        </w:rPr>
        <w:t>）资源消耗量、碳排放量及单位产品（</w:t>
      </w:r>
      <w:r>
        <w:rPr>
          <w:rFonts w:ascii="Times New Roman" w:hAnsi="Times New Roman" w:cs="Times New Roman"/>
          <w:kern w:val="2"/>
          <w:sz w:val="32"/>
          <w:szCs w:val="24"/>
          <w:lang w:val="en-US" w:eastAsia="zh-CN" w:bidi="ar-SA"/>
        </w:rPr>
        <w:t>工业</w:t>
      </w:r>
      <w:r>
        <w:rPr>
          <w:rFonts w:ascii="Times New Roman" w:hAnsi="Times New Roman" w:cs="Times New Roman"/>
          <w:sz w:val="32"/>
          <w:lang w:val="en-US" w:eastAsia="zh-CN"/>
        </w:rPr>
        <w:t>增加值</w:t>
      </w:r>
      <w:r>
        <w:rPr>
          <w:rFonts w:ascii="Times New Roman" w:hAnsi="Times New Roman" w:cs="Times New Roman"/>
          <w:sz w:val="32"/>
          <w:lang w:val="en-US" w:eastAsia="zh-CN"/>
        </w:rPr>
        <w:t>）碳排放量等。对照</w:t>
      </w:r>
      <w:r>
        <w:rPr>
          <w:rFonts w:ascii="Times New Roman" w:hAnsi="Times New Roman" w:cs="Times New Roman"/>
          <w:sz w:val="32"/>
          <w:lang w:val="en-US" w:eastAsia="zh-CN"/>
        </w:rPr>
        <w:t>相</w:t>
      </w:r>
      <w:r>
        <w:rPr>
          <w:rFonts w:ascii="Times New Roman" w:hAnsi="Times New Roman" w:cs="Times New Roman"/>
          <w:sz w:val="32"/>
          <w:lang w:val="en-US" w:eastAsia="zh-CN"/>
        </w:rPr>
        <w:t>关行业标准、</w:t>
      </w:r>
      <w:r>
        <w:rPr>
          <w:rFonts w:ascii="Times New Roman" w:hAnsi="Times New Roman" w:cs="Times New Roman"/>
          <w:sz w:val="32"/>
          <w:lang w:val="en-US" w:eastAsia="zh-CN"/>
        </w:rPr>
        <w:t>能耗限值</w:t>
      </w:r>
      <w:r>
        <w:rPr>
          <w:rFonts w:ascii="Times New Roman" w:hAnsi="Times New Roman" w:cs="Times New Roman"/>
          <w:sz w:val="32"/>
          <w:lang w:val="en-US" w:eastAsia="zh-CN"/>
        </w:rPr>
        <w:t>等，说明企业现阶段在上述指标行业先进性情况。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tabs>
          <w:tab w:val="left" w:pos="420" w:leader="none"/>
        </w:tabs>
        <w:kinsoku w:val="true"/>
        <w:overflowPunct w:val="true"/>
        <w:autoSpaceDE w:val="true"/>
        <w:bidi w:val="0"/>
        <w:snapToGrid w:val="true"/>
        <w:spacing w:lineRule="exact" w:line="600"/>
        <w:ind w:firstLine="640" w:left="0" w:right="28"/>
        <w:textAlignment w:val="auto"/>
        <w:rPr>
          <w:rFonts w:ascii="Times New Roman" w:hAnsi="Times New Roman" w:eastAsia="仿宋_GB2312" w:cs="Times New Roman"/>
          <w:sz w:val="32"/>
          <w:lang w:val="en-US" w:eastAsia="zh-CN"/>
        </w:rPr>
      </w:pPr>
      <w:r>
        <w:rPr>
          <w:rFonts w:ascii="Times New Roman" w:hAnsi="Times New Roman" w:cs="Times New Roman" w:eastAsia="楷体_GB2312;楷体"/>
          <w:b w:val="false"/>
          <w:bCs w:val="false"/>
          <w:sz w:val="32"/>
          <w:lang w:eastAsia="zh-CN"/>
        </w:rPr>
        <w:t>（四）</w:t>
      </w:r>
      <w:r>
        <w:rPr>
          <w:rFonts w:ascii="Times New Roman" w:hAnsi="Times New Roman" w:cs="Times New Roman" w:eastAsia="楷体_GB2312;楷体"/>
          <w:b w:val="false"/>
          <w:bCs w:val="false"/>
          <w:sz w:val="32"/>
          <w:lang w:val="en-US" w:eastAsia="zh-CN"/>
        </w:rPr>
        <w:t>节能降碳</w:t>
      </w:r>
      <w:r>
        <w:rPr>
          <w:rFonts w:ascii="Times New Roman" w:hAnsi="Times New Roman" w:cs="Times New Roman" w:eastAsia="楷体_GB2312;楷体"/>
          <w:b w:val="false"/>
          <w:bCs w:val="false"/>
          <w:sz w:val="32"/>
          <w:lang w:eastAsia="zh-CN"/>
        </w:rPr>
        <w:t>难点分析。</w:t>
      </w:r>
      <w:r>
        <w:rPr>
          <w:rFonts w:ascii="Times New Roman" w:hAnsi="Times New Roman" w:cs="Times New Roman"/>
          <w:sz w:val="32"/>
          <w:lang w:eastAsia="zh-CN"/>
        </w:rPr>
        <w:t>结合</w:t>
      </w:r>
      <w:r>
        <w:rPr>
          <w:rFonts w:ascii="Times New Roman" w:hAnsi="Times New Roman" w:cs="Times New Roman"/>
          <w:sz w:val="32"/>
          <w:lang w:val="en-US" w:eastAsia="zh-CN"/>
        </w:rPr>
        <w:t>本企业技术水平和发展实际，分析自身以及本行业在零碳（近零碳）工厂</w:t>
      </w:r>
      <w:r>
        <w:rPr>
          <w:rFonts w:ascii="Times New Roman" w:hAnsi="Times New Roman" w:cs="Times New Roman"/>
          <w:sz w:val="32"/>
          <w:lang w:val="en-US" w:eastAsia="zh-CN"/>
        </w:rPr>
        <w:t>培育建设</w:t>
      </w:r>
      <w:r>
        <w:rPr>
          <w:rFonts w:ascii="Times New Roman" w:hAnsi="Times New Roman" w:cs="Times New Roman"/>
          <w:sz w:val="32"/>
          <w:lang w:val="en-US" w:eastAsia="zh-CN"/>
        </w:rPr>
        <w:t>工作中面临的主要困难和短板弱项。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false"/>
        <w:spacing w:lineRule="exact" w:line="600" w:before="0" w:after="0"/>
        <w:ind w:hanging="0" w:left="621" w:right="0"/>
        <w:textAlignment w:val="auto"/>
        <w:rPr>
          <w:rFonts w:ascii="Times New Roman" w:hAnsi="Times New Roman" w:eastAsia="黑体" w:cs="Times New Roman"/>
          <w:color w:val="000000"/>
          <w:spacing w:val="-4"/>
          <w:sz w:val="32"/>
          <w:szCs w:val="32"/>
          <w:lang w:eastAsia="zh-CN"/>
        </w:rPr>
      </w:pPr>
      <w:r>
        <w:rPr>
          <w:rFonts w:ascii="Times New Roman" w:hAnsi="Times New Roman" w:cs="Times New Roman" w:eastAsia="黑体"/>
          <w:color w:val="000000"/>
          <w:spacing w:val="-4"/>
          <w:sz w:val="32"/>
          <w:szCs w:val="32"/>
          <w:lang w:eastAsia="zh-CN"/>
        </w:rPr>
        <w:t>二、</w:t>
      </w:r>
      <w:r>
        <w:rPr>
          <w:rFonts w:ascii="Times New Roman" w:hAnsi="Times New Roman" w:cs="Times New Roman" w:eastAsia="黑体"/>
          <w:color w:val="000000"/>
          <w:spacing w:val="-4"/>
          <w:sz w:val="32"/>
          <w:szCs w:val="32"/>
          <w:lang w:val="en-US" w:eastAsia="zh-CN"/>
        </w:rPr>
        <w:t>培育建设</w:t>
      </w:r>
      <w:r>
        <w:rPr>
          <w:rFonts w:ascii="Times New Roman" w:hAnsi="Times New Roman" w:cs="Times New Roman" w:eastAsia="黑体"/>
          <w:color w:val="000000"/>
          <w:spacing w:val="-4"/>
          <w:sz w:val="32"/>
          <w:szCs w:val="32"/>
          <w:lang w:eastAsia="zh-CN"/>
        </w:rPr>
        <w:t>目标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tabs>
          <w:tab w:val="left" w:pos="420" w:leader="none"/>
        </w:tabs>
        <w:kinsoku w:val="true"/>
        <w:overflowPunct w:val="true"/>
        <w:autoSpaceDE w:val="true"/>
        <w:bidi w:val="0"/>
        <w:snapToGrid w:val="true"/>
        <w:spacing w:lineRule="exact" w:line="600"/>
        <w:ind w:firstLine="640" w:left="0" w:right="28"/>
        <w:textAlignment w:val="auto"/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ascii="Times New Roman" w:hAnsi="Times New Roman" w:cs="Times New Roman"/>
          <w:sz w:val="32"/>
          <w:lang w:val="en-US" w:eastAsia="zh-CN"/>
        </w:rPr>
        <w:t>提出零碳（近零碳）工厂建设目标，明确</w:t>
      </w:r>
      <w:r>
        <w:rPr>
          <w:rFonts w:ascii="Times New Roman" w:hAnsi="Times New Roman" w:cs="Times New Roman"/>
          <w:sz w:val="32"/>
          <w:lang w:val="en-US" w:eastAsia="zh-CN"/>
        </w:rPr>
        <w:t>培育建设</w:t>
      </w:r>
      <w:r>
        <w:rPr>
          <w:rFonts w:ascii="Times New Roman" w:hAnsi="Times New Roman" w:cs="Times New Roman"/>
          <w:sz w:val="32"/>
          <w:lang w:val="en-US" w:eastAsia="zh-CN"/>
        </w:rPr>
        <w:t>工作实施路径、时间表等。</w:t>
      </w:r>
      <w:r>
        <w:rPr>
          <w:rFonts w:ascii="Times New Roman" w:hAnsi="Times New Roman" w:cs="Times New Roman"/>
          <w:kern w:val="2"/>
          <w:sz w:val="32"/>
          <w:szCs w:val="24"/>
          <w:lang w:val="en-US" w:eastAsia="zh-CN" w:bidi="ar-SA"/>
        </w:rPr>
        <w:t>计算并评估</w:t>
      </w:r>
      <w:r>
        <w:rPr>
          <w:rFonts w:ascii="Times New Roman" w:hAnsi="Times New Roman" w:cs="Times New Roman"/>
          <w:kern w:val="2"/>
          <w:sz w:val="32"/>
          <w:szCs w:val="24"/>
          <w:lang w:val="en-US" w:eastAsia="zh-CN" w:bidi="ar-SA"/>
        </w:rPr>
        <w:t>建设期内</w:t>
      </w:r>
      <w:r>
        <w:rPr>
          <w:rFonts w:ascii="Times New Roman" w:hAnsi="Times New Roman" w:cs="Times New Roman"/>
          <w:kern w:val="2"/>
          <w:sz w:val="32"/>
          <w:szCs w:val="24"/>
          <w:lang w:val="en-US" w:eastAsia="zh-CN" w:bidi="ar-SA"/>
        </w:rPr>
        <w:t>单位产品（工业增加值）能耗量、单位产品（工业增加值）碳排放量、单位产品原材料使用量、单位产品取水量以及可再生能源使用占比变化情况。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false"/>
        <w:spacing w:lineRule="exact" w:line="600" w:before="0" w:after="0"/>
        <w:ind w:firstLine="624" w:right="0"/>
        <w:textAlignment w:val="auto"/>
        <w:rPr>
          <w:rFonts w:ascii="Times New Roman" w:hAnsi="Times New Roman" w:eastAsia="黑体" w:cs="Times New Roman"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 w:eastAsia="黑体"/>
          <w:color w:val="000000"/>
          <w:spacing w:val="-4"/>
          <w:sz w:val="32"/>
          <w:szCs w:val="32"/>
        </w:rPr>
        <w:t>三、</w:t>
      </w:r>
      <w:r>
        <w:rPr>
          <w:rFonts w:ascii="Times New Roman" w:hAnsi="Times New Roman" w:cs="Times New Roman" w:eastAsia="黑体"/>
          <w:color w:val="000000"/>
          <w:spacing w:val="-4"/>
          <w:sz w:val="32"/>
          <w:szCs w:val="32"/>
          <w:lang w:val="en-US" w:eastAsia="zh-CN"/>
        </w:rPr>
        <w:t>重点</w:t>
      </w:r>
      <w:r>
        <w:rPr>
          <w:rFonts w:ascii="Times New Roman" w:hAnsi="Times New Roman" w:cs="Times New Roman" w:eastAsia="黑体"/>
          <w:color w:val="000000"/>
          <w:spacing w:val="-4"/>
          <w:sz w:val="32"/>
          <w:szCs w:val="32"/>
        </w:rPr>
        <w:t>任务</w:t>
      </w:r>
    </w:p>
    <w:p>
      <w:pPr>
        <w:pStyle w:val="BodyText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false"/>
        <w:spacing w:lineRule="exact" w:line="600"/>
        <w:ind w:firstLine="573" w:left="23" w:right="0"/>
        <w:jc w:val="both"/>
        <w:textAlignment w:val="auto"/>
        <w:rPr>
          <w:rFonts w:ascii="Times New Roman" w:hAnsi="Times New Roman" w:eastAsia="仿宋_GB2312" w:cs="Times New Roman"/>
          <w:b w:val="false"/>
          <w:bCs w:val="false"/>
          <w:kern w:val="2"/>
          <w:sz w:val="32"/>
          <w:szCs w:val="24"/>
          <w:lang w:val="en-US" w:eastAsia="zh-CN" w:bidi="ar-SA"/>
        </w:rPr>
      </w:pPr>
      <w:r>
        <w:rPr>
          <w:rFonts w:ascii="Times New Roman" w:hAnsi="Times New Roman" w:cs="Times New Roman" w:eastAsia="仿宋_GB2312"/>
          <w:b w:val="false"/>
          <w:bCs w:val="false"/>
          <w:kern w:val="2"/>
          <w:sz w:val="32"/>
          <w:szCs w:val="24"/>
          <w:lang w:val="en-US" w:eastAsia="zh-CN" w:bidi="ar-SA"/>
        </w:rPr>
        <w:t>综合考虑本企业的技术水平和发展实际，结合主要困难和短板弱项，围绕</w:t>
      </w:r>
      <w:r>
        <w:rPr>
          <w:rFonts w:ascii="Times New Roman" w:hAnsi="Times New Roman" w:cs="Times New Roman" w:eastAsia="仿宋_GB2312"/>
          <w:b w:val="false"/>
          <w:bCs w:val="false"/>
          <w:kern w:val="2"/>
          <w:sz w:val="32"/>
          <w:szCs w:val="24"/>
          <w:lang w:val="en-US" w:eastAsia="zh-CN" w:bidi="ar-SA"/>
        </w:rPr>
        <w:t>培育建设</w:t>
      </w:r>
      <w:r>
        <w:rPr>
          <w:rFonts w:ascii="Times New Roman" w:hAnsi="Times New Roman" w:cs="Times New Roman" w:eastAsia="仿宋_GB2312"/>
          <w:b w:val="false"/>
          <w:bCs w:val="false"/>
          <w:kern w:val="2"/>
          <w:sz w:val="32"/>
          <w:szCs w:val="24"/>
          <w:lang w:val="en-US" w:eastAsia="zh-CN" w:bidi="ar-SA"/>
        </w:rPr>
        <w:t>工作指标体系，提出具体可操作的重点任务，包括但不限于以下内容。</w:t>
      </w:r>
    </w:p>
    <w:p>
      <w:pPr>
        <w:pStyle w:val="BodyText"/>
        <w:keepNext w:val="false"/>
        <w:keepLines w:val="false"/>
        <w:pageBreakBefore w:val="false"/>
        <w:widowControl/>
        <w:numPr>
          <w:ilvl w:val="0"/>
          <w:numId w:val="0"/>
        </w:numPr>
        <w:kinsoku w:val="true"/>
        <w:overflowPunct w:val="true"/>
        <w:autoSpaceDE w:val="true"/>
        <w:bidi w:val="0"/>
        <w:snapToGrid w:val="false"/>
        <w:spacing w:lineRule="exact" w:line="600"/>
        <w:ind w:firstLine="640" w:left="0" w:right="0"/>
        <w:jc w:val="both"/>
        <w:textAlignment w:val="auto"/>
        <w:rPr>
          <w:rFonts w:ascii="Times New Roman" w:hAnsi="Times New Roman" w:eastAsia="仿宋_GB2312" w:cs="Times New Roman"/>
          <w:b w:val="false"/>
          <w:bCs w:val="false"/>
          <w:kern w:val="2"/>
          <w:sz w:val="32"/>
          <w:szCs w:val="24"/>
          <w:lang w:val="en-US" w:eastAsia="zh-CN" w:bidi="ar-SA"/>
        </w:rPr>
      </w:pPr>
      <w:r>
        <w:rPr>
          <w:rFonts w:ascii="Times New Roman" w:hAnsi="Times New Roman" w:cs="Times New Roman" w:eastAsia="楷体_GB2312;楷体"/>
          <w:b w:val="false"/>
          <w:bCs w:val="false"/>
          <w:kern w:val="2"/>
          <w:sz w:val="32"/>
          <w:szCs w:val="24"/>
          <w:lang w:val="en-US" w:eastAsia="zh-CN" w:bidi="ar-SA"/>
        </w:rPr>
        <w:t>（一）能源与碳排放管理。</w:t>
      </w:r>
      <w:r>
        <w:rPr>
          <w:rFonts w:ascii="Times New Roman" w:hAnsi="Times New Roman" w:cs="Times New Roman" w:eastAsia="仿宋_GB2312"/>
          <w:b w:val="false"/>
          <w:bCs w:val="false"/>
          <w:kern w:val="2"/>
          <w:sz w:val="32"/>
          <w:szCs w:val="24"/>
          <w:lang w:val="en-US" w:eastAsia="zh-CN" w:bidi="ar-SA"/>
        </w:rPr>
        <w:t>主要描述碳排放管理</w:t>
      </w:r>
      <w:r>
        <w:rPr>
          <w:rFonts w:ascii="Times New Roman" w:hAnsi="Times New Roman" w:cs="Times New Roman" w:eastAsia="仿宋_GB2312"/>
          <w:b w:val="false"/>
          <w:bCs w:val="false"/>
          <w:kern w:val="2"/>
          <w:sz w:val="32"/>
          <w:szCs w:val="24"/>
          <w:lang w:val="en-US" w:eastAsia="zh-CN" w:bidi="ar-SA"/>
        </w:rPr>
        <w:t>体系，能源和碳排放信息化系统等建设情况。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0"/>
        <w:kinsoku w:val="true"/>
        <w:overflowPunct w:val="true"/>
        <w:autoSpaceDE w:val="true"/>
        <w:bidi w:val="0"/>
        <w:spacing w:lineRule="exact" w:line="600"/>
        <w:ind w:firstLine="640" w:left="0" w:right="0"/>
        <w:jc w:val="left"/>
        <w:textAlignment w:val="auto"/>
        <w:rPr>
          <w:rFonts w:ascii="Times New Roman" w:hAnsi="Times New Roman" w:eastAsia="楷体" w:cs="Times New Roman"/>
          <w:b w:val="false"/>
          <w:bCs w:val="false"/>
          <w:kern w:val="2"/>
          <w:sz w:val="32"/>
          <w:szCs w:val="24"/>
          <w:lang w:val="en-US" w:eastAsia="zh-CN" w:bidi="ar-SA"/>
        </w:rPr>
      </w:pPr>
      <w:r>
        <w:rPr>
          <w:rFonts w:ascii="Times New Roman" w:hAnsi="Times New Roman" w:cs="Times New Roman" w:eastAsia="楷体_GB2312;楷体"/>
          <w:b w:val="false"/>
          <w:bCs w:val="false"/>
          <w:kern w:val="2"/>
          <w:sz w:val="32"/>
          <w:szCs w:val="24"/>
          <w:lang w:val="en-US" w:eastAsia="zh-CN" w:bidi="ar-SA"/>
        </w:rPr>
        <w:t>（二）自主减排与边界内碳抵消。</w:t>
      </w:r>
      <w:r>
        <w:rPr>
          <w:rFonts w:ascii="Times New Roman" w:hAnsi="Times New Roman" w:cs="Times New Roman"/>
          <w:b w:val="false"/>
          <w:bCs w:val="false"/>
          <w:kern w:val="2"/>
          <w:sz w:val="32"/>
          <w:szCs w:val="24"/>
          <w:lang w:val="en-US" w:eastAsia="zh-CN" w:bidi="ar-SA"/>
        </w:rPr>
        <w:t>主要描述高效设备更新改造、生产工艺优化和改进、能源梯级利用等节能</w:t>
      </w:r>
      <w:r>
        <w:rPr>
          <w:rFonts w:ascii="Times New Roman" w:hAnsi="Times New Roman" w:cs="Times New Roman"/>
          <w:b w:val="false"/>
          <w:bCs w:val="false"/>
          <w:kern w:val="2"/>
          <w:sz w:val="32"/>
          <w:szCs w:val="24"/>
          <w:lang w:val="en-US" w:eastAsia="zh-CN" w:bidi="ar-SA"/>
        </w:rPr>
        <w:t>降碳技改</w:t>
      </w:r>
      <w:r>
        <w:rPr>
          <w:rFonts w:ascii="Times New Roman" w:hAnsi="Times New Roman" w:cs="Times New Roman"/>
          <w:b w:val="false"/>
          <w:bCs w:val="false"/>
          <w:kern w:val="2"/>
          <w:sz w:val="32"/>
          <w:szCs w:val="24"/>
          <w:lang w:val="en-US" w:eastAsia="zh-CN" w:bidi="ar-SA"/>
        </w:rPr>
        <w:t>项目</w:t>
      </w:r>
      <w:r>
        <w:rPr>
          <w:rFonts w:ascii="Times New Roman" w:hAnsi="Times New Roman" w:cs="Times New Roman"/>
          <w:b w:val="false"/>
          <w:bCs w:val="false"/>
          <w:kern w:val="2"/>
          <w:sz w:val="32"/>
          <w:szCs w:val="24"/>
          <w:lang w:val="en-US" w:eastAsia="zh-CN" w:bidi="ar-SA"/>
        </w:rPr>
        <w:t>建设情况、实施成效及</w:t>
      </w:r>
      <w:r>
        <w:rPr>
          <w:rFonts w:ascii="Times New Roman" w:hAnsi="Times New Roman" w:cs="Times New Roman"/>
          <w:b w:val="false"/>
          <w:bCs w:val="false"/>
          <w:kern w:val="2"/>
          <w:sz w:val="32"/>
          <w:szCs w:val="24"/>
          <w:lang w:val="en-US" w:eastAsia="zh-CN" w:bidi="ar-SA"/>
        </w:rPr>
        <w:t>厂界内碳抵消</w:t>
      </w:r>
      <w:r>
        <w:rPr>
          <w:rFonts w:ascii="Times New Roman" w:hAnsi="Times New Roman" w:cs="Times New Roman"/>
          <w:b w:val="false"/>
          <w:bCs w:val="false"/>
          <w:kern w:val="2"/>
          <w:sz w:val="32"/>
          <w:szCs w:val="24"/>
          <w:lang w:val="en-US" w:eastAsia="zh-CN" w:bidi="ar-SA"/>
        </w:rPr>
        <w:t>等内容</w:t>
      </w:r>
    </w:p>
    <w:p>
      <w:pPr>
        <w:pStyle w:val="Normal"/>
        <w:widowControl/>
        <w:numPr>
          <w:ilvl w:val="0"/>
          <w:numId w:val="0"/>
        </w:numPr>
        <w:shd w:fill="FFFFFF" w:val="clear"/>
        <w:snapToGrid w:val="false"/>
        <w:spacing w:lineRule="exact" w:line="600"/>
        <w:ind w:firstLine="640" w:left="0" w:right="0"/>
        <w:jc w:val="left"/>
        <w:rPr>
          <w:rFonts w:ascii="Times New Roman" w:hAnsi="Times New Roman" w:eastAsia="仿宋_GB2312" w:cs="Times New Roman"/>
          <w:b w:val="false"/>
          <w:bCs w:val="false"/>
          <w:kern w:val="2"/>
          <w:sz w:val="32"/>
          <w:szCs w:val="24"/>
          <w:lang w:val="en-US" w:eastAsia="zh-CN" w:bidi="ar-SA"/>
        </w:rPr>
      </w:pPr>
      <w:r>
        <w:rPr>
          <w:rFonts w:ascii="Times New Roman" w:hAnsi="Times New Roman" w:cs="Times New Roman" w:eastAsia="楷体_GB2312;楷体"/>
          <w:b w:val="false"/>
          <w:bCs w:val="false"/>
          <w:kern w:val="2"/>
          <w:sz w:val="32"/>
          <w:szCs w:val="24"/>
          <w:lang w:val="en-US" w:eastAsia="zh-CN" w:bidi="ar-SA"/>
        </w:rPr>
        <w:t>（三）工厂边界外碳抵消。</w:t>
      </w:r>
      <w:r>
        <w:rPr>
          <w:rFonts w:ascii="Times New Roman" w:hAnsi="Times New Roman" w:cs="Times New Roman"/>
          <w:b w:val="false"/>
          <w:bCs w:val="false"/>
          <w:kern w:val="2"/>
          <w:sz w:val="32"/>
          <w:szCs w:val="24"/>
          <w:lang w:val="en-US" w:eastAsia="zh-CN" w:bidi="ar-SA"/>
        </w:rPr>
        <w:t>主要描述</w:t>
      </w:r>
      <w:r>
        <w:rPr>
          <w:rFonts w:ascii="Times New Roman" w:hAnsi="Times New Roman" w:cs="Times New Roman"/>
          <w:b w:val="false"/>
          <w:bCs w:val="false"/>
          <w:kern w:val="2"/>
          <w:sz w:val="32"/>
          <w:szCs w:val="24"/>
          <w:lang w:val="en-US" w:eastAsia="zh-CN" w:bidi="ar-SA"/>
        </w:rPr>
        <w:t>工厂边界外碳抵消项目建设与碳减排量购买</w:t>
      </w:r>
      <w:r>
        <w:rPr>
          <w:rFonts w:ascii="Times New Roman" w:hAnsi="Times New Roman" w:cs="Times New Roman"/>
          <w:b w:val="false"/>
          <w:bCs w:val="false"/>
          <w:kern w:val="2"/>
          <w:sz w:val="32"/>
          <w:szCs w:val="24"/>
          <w:lang w:val="en-US" w:eastAsia="zh-CN" w:bidi="ar-SA"/>
        </w:rPr>
        <w:t>等内容</w:t>
      </w:r>
      <w:r>
        <w:rPr>
          <w:rFonts w:ascii="Times New Roman" w:hAnsi="Times New Roman" w:cs="Times New Roman"/>
          <w:b w:val="false"/>
          <w:bCs w:val="false"/>
          <w:kern w:val="2"/>
          <w:sz w:val="32"/>
          <w:szCs w:val="24"/>
          <w:lang w:val="en-US" w:eastAsia="zh-CN" w:bidi="ar-SA"/>
        </w:rPr>
        <w:t>。</w:t>
      </w:r>
    </w:p>
    <w:p>
      <w:pPr>
        <w:pStyle w:val="BodyText"/>
        <w:keepNext w:val="false"/>
        <w:keepLines w:val="false"/>
        <w:pageBreakBefore w:val="false"/>
        <w:widowControl/>
        <w:numPr>
          <w:ilvl w:val="0"/>
          <w:numId w:val="0"/>
        </w:numPr>
        <w:kinsoku w:val="true"/>
        <w:overflowPunct w:val="true"/>
        <w:autoSpaceDE w:val="true"/>
        <w:bidi w:val="0"/>
        <w:snapToGrid w:val="false"/>
        <w:spacing w:lineRule="exact" w:line="600"/>
        <w:ind w:firstLine="640" w:left="0" w:right="0"/>
        <w:jc w:val="both"/>
        <w:textAlignment w:val="auto"/>
        <w:rPr>
          <w:rFonts w:ascii="Times New Roman" w:hAnsi="Times New Roman" w:eastAsia="仿宋_GB2312" w:cs="Times New Roman"/>
          <w:b w:val="false"/>
          <w:bCs w:val="false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ascii="Times New Roman" w:hAnsi="Times New Roman" w:cs="Times New Roman" w:eastAsia="楷体_GB2312;楷体"/>
          <w:b w:val="false"/>
          <w:bCs w:val="false"/>
          <w:kern w:val="2"/>
          <w:sz w:val="32"/>
          <w:szCs w:val="24"/>
          <w:lang w:val="en-US" w:eastAsia="zh-CN" w:bidi="ar-SA"/>
        </w:rPr>
        <w:t>（四）碳排放管理。</w:t>
      </w:r>
      <w:r>
        <w:rPr>
          <w:rFonts w:ascii="Times New Roman" w:hAnsi="Times New Roman" w:cs="Times New Roman" w:eastAsia="仿宋_GB2312"/>
          <w:b w:val="false"/>
          <w:bCs w:val="false"/>
          <w:kern w:val="2"/>
          <w:sz w:val="32"/>
          <w:szCs w:val="24"/>
          <w:lang w:val="en-US" w:eastAsia="zh-CN" w:bidi="ar-SA"/>
        </w:rPr>
        <w:t>主要描述企业碳排放管理、产品生态设计、</w:t>
      </w:r>
      <w:r>
        <w:rPr>
          <w:rFonts w:ascii="Times New Roman" w:hAnsi="Times New Roman" w:cs="Times New Roman" w:eastAsia="仿宋_GB2312"/>
          <w:b w:val="false"/>
          <w:bCs w:val="false"/>
          <w:color w:val="000000"/>
          <w:sz w:val="32"/>
          <w:szCs w:val="32"/>
          <w:lang w:val="en-US" w:eastAsia="zh-CN"/>
        </w:rPr>
        <w:t>碳足迹核算、供应链绿色低碳化、碳捕集利用等情况</w:t>
      </w:r>
      <w:r>
        <w:rPr>
          <w:rFonts w:ascii="Times New Roman" w:hAnsi="Times New Roman" w:cs="Times New Roman" w:eastAsia="仿宋_GB2312"/>
          <w:b w:val="false"/>
          <w:bCs w:val="false"/>
          <w:kern w:val="2"/>
          <w:sz w:val="32"/>
          <w:szCs w:val="24"/>
          <w:lang w:val="en-US" w:eastAsia="zh-CN" w:bidi="ar-SA"/>
        </w:rPr>
        <w:t>。</w:t>
      </w:r>
    </w:p>
    <w:p>
      <w:pPr>
        <w:pStyle w:val="Style17"/>
        <w:keepNext w:val="false"/>
        <w:keepLines w:val="false"/>
        <w:widowControl/>
        <w:numPr>
          <w:ilvl w:val="0"/>
          <w:numId w:val="0"/>
        </w:numPr>
        <w:suppressLineNumbers w:val="0"/>
        <w:pBdr/>
        <w:spacing w:lineRule="exact" w:line="600" w:before="0" w:after="0"/>
        <w:ind w:firstLine="640" w:left="0" w:right="0"/>
        <w:jc w:val="left"/>
        <w:rPr>
          <w:rFonts w:ascii="Times New Roman" w:hAnsi="Times New Roman" w:eastAsia="仿宋_GB2312" w:cs="Times New Roman"/>
          <w:b w:val="false"/>
          <w:bCs w:val="false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cs="Times New Roman" w:eastAsia="楷体_GB2312;楷体"/>
          <w:b w:val="false"/>
          <w:bCs w:val="false"/>
          <w:color w:val="000000"/>
          <w:kern w:val="2"/>
          <w:sz w:val="32"/>
          <w:szCs w:val="24"/>
          <w:shd w:fill="auto" w:val="clear"/>
          <w:lang w:val="en-US" w:eastAsia="zh-CN" w:bidi="ar-SA"/>
        </w:rPr>
        <w:t>（五）技术创新应用。</w:t>
      </w:r>
      <w:r>
        <w:rPr>
          <w:rFonts w:ascii="Times New Roman" w:hAnsi="Times New Roman" w:cs="Times New Roman" w:eastAsia="仿宋_GB2312"/>
          <w:b w:val="false"/>
          <w:bCs w:val="false"/>
          <w:color w:val="000000"/>
          <w:sz w:val="32"/>
          <w:szCs w:val="32"/>
          <w:shd w:fill="FFFFFF" w:val="clear"/>
          <w:lang w:val="en-US" w:eastAsia="zh-CN"/>
        </w:rPr>
        <w:t>主要描述企业产学研合作、相关研究平台建立、科技创新成果研究等内容，并列出技术创新清单</w:t>
      </w:r>
      <w:r>
        <w:rPr>
          <w:rFonts w:ascii="Times New Roman" w:hAnsi="Times New Roman" w:cs="Times New Roman" w:eastAsia="仿宋_GB2312"/>
          <w:b w:val="false"/>
          <w:bCs w:val="false"/>
          <w:kern w:val="2"/>
          <w:sz w:val="32"/>
          <w:szCs w:val="24"/>
          <w:lang w:val="en-US" w:eastAsia="zh-CN" w:bidi="ar-SA"/>
        </w:rPr>
        <w:t>（详见附件</w:t>
      </w:r>
      <w:r>
        <w:rPr>
          <w:rFonts w:eastAsia="仿宋_GB2312" w:cs="Times New Roman" w:ascii="Times New Roman" w:hAnsi="Times New Roman"/>
          <w:b w:val="false"/>
          <w:bCs w:val="false"/>
          <w:kern w:val="2"/>
          <w:sz w:val="32"/>
          <w:szCs w:val="24"/>
          <w:lang w:val="en-US" w:eastAsia="zh-CN" w:bidi="ar-SA"/>
        </w:rPr>
        <w:t>2-1</w:t>
      </w:r>
      <w:r>
        <w:rPr>
          <w:rFonts w:ascii="Times New Roman" w:hAnsi="Times New Roman" w:cs="Times New Roman" w:eastAsia="仿宋_GB2312"/>
          <w:b w:val="false"/>
          <w:bCs w:val="false"/>
          <w:kern w:val="2"/>
          <w:sz w:val="32"/>
          <w:szCs w:val="24"/>
          <w:lang w:val="en-US" w:eastAsia="zh-CN" w:bidi="ar-SA"/>
        </w:rPr>
        <w:t>）</w:t>
      </w:r>
      <w:r>
        <w:rPr>
          <w:rFonts w:ascii="Times New Roman" w:hAnsi="Times New Roman" w:cs="Times New Roman" w:eastAsia="仿宋_GB2312"/>
          <w:b w:val="false"/>
          <w:bCs w:val="false"/>
          <w:color w:val="000000"/>
          <w:sz w:val="32"/>
          <w:szCs w:val="32"/>
          <w:shd w:fill="FFFFFF" w:val="clear"/>
          <w:lang w:val="en-US" w:eastAsia="zh-CN"/>
        </w:rPr>
        <w:t>。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false"/>
        <w:spacing w:lineRule="exact" w:line="600"/>
        <w:ind w:firstLine="624" w:right="0"/>
        <w:textAlignment w:val="auto"/>
        <w:rPr>
          <w:rFonts w:ascii="Times New Roman" w:hAnsi="Times New Roman" w:eastAsia="黑体" w:cs="Times New Roman"/>
          <w:color w:val="000000"/>
          <w:spacing w:val="-4"/>
          <w:sz w:val="32"/>
          <w:szCs w:val="32"/>
          <w:lang w:val="en-US" w:eastAsia="zh-CN"/>
        </w:rPr>
      </w:pPr>
      <w:r>
        <w:rPr>
          <w:rFonts w:ascii="Times New Roman" w:hAnsi="Times New Roman" w:cs="Times New Roman" w:eastAsia="黑体"/>
          <w:color w:val="000000"/>
          <w:spacing w:val="-4"/>
          <w:sz w:val="32"/>
          <w:szCs w:val="32"/>
          <w:lang w:val="en-US" w:eastAsia="zh-CN"/>
        </w:rPr>
        <w:t>四、</w:t>
      </w:r>
      <w:r>
        <w:rPr>
          <w:rFonts w:ascii="Times New Roman" w:hAnsi="Times New Roman" w:cs="Times New Roman" w:eastAsia="黑体"/>
          <w:color w:val="000000"/>
          <w:spacing w:val="-4"/>
          <w:sz w:val="32"/>
          <w:szCs w:val="32"/>
        </w:rPr>
        <w:t>重点</w:t>
      </w:r>
      <w:r>
        <w:rPr>
          <w:rFonts w:ascii="Times New Roman" w:hAnsi="Times New Roman" w:cs="Times New Roman" w:eastAsia="黑体"/>
          <w:color w:val="000000"/>
          <w:spacing w:val="-4"/>
          <w:sz w:val="32"/>
          <w:szCs w:val="32"/>
          <w:lang w:val="en-US" w:eastAsia="zh-CN"/>
        </w:rPr>
        <w:t>项目</w:t>
      </w:r>
    </w:p>
    <w:p>
      <w:pPr>
        <w:pStyle w:val="Normal"/>
        <w:spacing w:lineRule="exact" w:line="600"/>
        <w:ind w:firstLine="640" w:right="0"/>
        <w:rPr>
          <w:rFonts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  <w:kern w:val="2"/>
          <w:sz w:val="32"/>
          <w:szCs w:val="24"/>
          <w:lang w:val="en-US" w:eastAsia="zh-CN" w:bidi="ar-SA"/>
        </w:rPr>
        <w:t>结合</w:t>
      </w:r>
      <w:r>
        <w:rPr>
          <w:rFonts w:ascii="Times New Roman" w:hAnsi="Times New Roman" w:cs="Times New Roman"/>
          <w:kern w:val="2"/>
          <w:sz w:val="32"/>
          <w:szCs w:val="24"/>
          <w:lang w:val="en-US" w:eastAsia="zh-CN" w:bidi="ar-SA"/>
        </w:rPr>
        <w:t>培育建设</w:t>
      </w:r>
      <w:r>
        <w:rPr>
          <w:rFonts w:ascii="Times New Roman" w:hAnsi="Times New Roman" w:cs="Times New Roman"/>
          <w:kern w:val="2"/>
          <w:sz w:val="32"/>
          <w:szCs w:val="24"/>
          <w:lang w:val="en-US" w:eastAsia="zh-CN" w:bidi="ar-SA"/>
        </w:rPr>
        <w:t>目标与主要任务，提出拟开展的重点项目，包括项目内容、建设期限、投资额、预期的节能减碳量、节水节材量等，并说明拟实施重点项目的技术先进性、行业引领性，以及对</w:t>
      </w:r>
      <w:r>
        <w:rPr>
          <w:rFonts w:ascii="Times New Roman" w:hAnsi="Times New Roman" w:cs="Times New Roman"/>
          <w:sz w:val="32"/>
          <w:lang w:val="en-US" w:eastAsia="zh-CN"/>
        </w:rPr>
        <w:t>零碳（近零碳）</w:t>
      </w:r>
      <w:r>
        <w:rPr>
          <w:rFonts w:ascii="Times New Roman" w:hAnsi="Times New Roman" w:cs="Times New Roman"/>
          <w:kern w:val="2"/>
          <w:sz w:val="32"/>
          <w:szCs w:val="24"/>
          <w:lang w:val="en-US" w:eastAsia="zh-CN" w:bidi="ar-SA"/>
        </w:rPr>
        <w:t>工厂</w:t>
      </w:r>
      <w:r>
        <w:rPr>
          <w:rFonts w:ascii="Times New Roman" w:hAnsi="Times New Roman" w:cs="Times New Roman"/>
          <w:kern w:val="2"/>
          <w:sz w:val="32"/>
          <w:szCs w:val="24"/>
          <w:lang w:val="en-US" w:eastAsia="zh-CN" w:bidi="ar-SA"/>
        </w:rPr>
        <w:t>培育建设</w:t>
      </w:r>
      <w:r>
        <w:rPr>
          <w:rFonts w:ascii="Times New Roman" w:hAnsi="Times New Roman" w:cs="Times New Roman"/>
          <w:kern w:val="2"/>
          <w:sz w:val="32"/>
          <w:szCs w:val="24"/>
          <w:lang w:val="en-US" w:eastAsia="zh-CN" w:bidi="ar-SA"/>
        </w:rPr>
        <w:t>工作的推动作用和示范意义</w:t>
      </w:r>
      <w:r>
        <w:rPr>
          <w:rFonts w:ascii="Times New Roman" w:hAnsi="Times New Roman" w:cs="Times New Roman"/>
          <w:kern w:val="2"/>
          <w:sz w:val="32"/>
          <w:szCs w:val="24"/>
          <w:lang w:val="en-US" w:eastAsia="zh-CN" w:bidi="ar-SA"/>
        </w:rPr>
        <w:t>，并列出重点项目及</w:t>
      </w:r>
      <w:r>
        <w:rPr>
          <w:rFonts w:cs="Times New Roman"/>
          <w:kern w:val="2"/>
          <w:sz w:val="32"/>
          <w:szCs w:val="24"/>
          <w:lang w:val="en-US" w:eastAsia="zh-CN" w:bidi="ar-SA"/>
        </w:rPr>
        <w:t>主要</w:t>
      </w:r>
      <w:r>
        <w:rPr>
          <w:rFonts w:ascii="Times New Roman" w:hAnsi="Times New Roman" w:cs="Times New Roman"/>
          <w:kern w:val="2"/>
          <w:sz w:val="32"/>
          <w:szCs w:val="24"/>
          <w:lang w:val="en-US" w:eastAsia="zh-CN" w:bidi="ar-SA"/>
        </w:rPr>
        <w:t>设备清单（详见附件</w:t>
      </w:r>
      <w:r>
        <w:rPr>
          <w:rFonts w:eastAsia="仿宋_GB2312" w:cs="Times New Roman"/>
          <w:kern w:val="2"/>
          <w:sz w:val="32"/>
          <w:szCs w:val="24"/>
          <w:lang w:val="en-US" w:eastAsia="zh-CN" w:bidi="ar-SA"/>
        </w:rPr>
        <w:t>2-2</w:t>
      </w:r>
      <w:r>
        <w:rPr>
          <w:rFonts w:ascii="Times New Roman" w:hAnsi="Times New Roman" w:cs="Times New Roman"/>
          <w:kern w:val="2"/>
          <w:sz w:val="32"/>
          <w:szCs w:val="24"/>
          <w:lang w:val="en-US" w:eastAsia="zh-CN" w:bidi="ar-SA"/>
        </w:rPr>
        <w:t>、附件</w:t>
      </w:r>
      <w:r>
        <w:rPr>
          <w:rFonts w:eastAsia="仿宋_GB2312" w:cs="Times New Roman"/>
          <w:kern w:val="2"/>
          <w:sz w:val="32"/>
          <w:szCs w:val="24"/>
          <w:lang w:val="en-US" w:eastAsia="zh-CN" w:bidi="ar-SA"/>
        </w:rPr>
        <w:t>2-3</w:t>
      </w:r>
      <w:r>
        <w:rPr>
          <w:rFonts w:ascii="Times New Roman" w:hAnsi="Times New Roman" w:cs="Times New Roman"/>
          <w:kern w:val="2"/>
          <w:sz w:val="32"/>
          <w:szCs w:val="24"/>
          <w:lang w:val="en-US" w:eastAsia="zh-CN" w:bidi="ar-SA"/>
        </w:rPr>
        <w:t>）</w:t>
      </w:r>
      <w:r>
        <w:rPr>
          <w:rFonts w:ascii="Times New Roman" w:hAnsi="Times New Roman" w:cs="Times New Roman"/>
          <w:kern w:val="2"/>
          <w:sz w:val="32"/>
          <w:szCs w:val="24"/>
          <w:lang w:val="en-US" w:eastAsia="zh-CN" w:bidi="ar-SA"/>
        </w:rPr>
        <w:t>。</w:t>
      </w:r>
    </w:p>
    <w:p>
      <w:pPr>
        <w:sectPr>
          <w:footerReference w:type="default" r:id="rId9"/>
          <w:footerReference w:type="first" r:id="rId10"/>
          <w:type w:val="nextPage"/>
          <w:pgSz w:w="11906" w:h="16838"/>
          <w:pgMar w:left="1587" w:right="1587" w:gutter="0" w:header="0" w:top="1814" w:footer="1134" w:bottom="1587"/>
          <w:pgNumType w:fmt="decimal"/>
          <w:formProt w:val="false"/>
          <w:textDirection w:val="lrTb"/>
          <w:docGrid w:type="lines" w:linePitch="437" w:charSpace="0"/>
        </w:sectPr>
      </w:pPr>
    </w:p>
    <w:p>
      <w:pPr>
        <w:pStyle w:val="Normal"/>
        <w:numPr>
          <w:ilvl w:val="0"/>
          <w:numId w:val="0"/>
        </w:numPr>
        <w:ind w:firstLine="720" w:left="0"/>
        <w:rPr>
          <w:rFonts w:ascii="仿宋_GB2312" w:hAnsi="仿宋_GB2312" w:eastAsia="仿宋_GB2312" w:cs="仿宋_GB2312"/>
          <w:sz w:val="32"/>
          <w:lang w:val="en-US" w:eastAsia="zh-CN"/>
        </w:rPr>
      </w:pPr>
      <w:r>
        <w:rPr>
          <w:rFonts w:eastAsia="仿宋_GB2312" w:cs="仿宋_GB2312" w:ascii="仿宋_GB2312" w:hAnsi="仿宋_GB2312"/>
          <w:sz w:val="32"/>
          <w:lang w:val="en-US" w:eastAsia="zh-CN"/>
        </w:rPr>
      </w:r>
    </w:p>
    <w:p>
      <w:pPr>
        <w:sectPr>
          <w:type w:val="continuous"/>
          <w:pgSz w:w="11906" w:h="16838"/>
          <w:pgMar w:left="1587" w:right="1587" w:gutter="0" w:header="0" w:top="1814" w:footer="1134" w:bottom="1587"/>
          <w:formProt w:val="false"/>
          <w:textDirection w:val="lrTb"/>
          <w:docGrid w:type="lines" w:linePitch="437" w:charSpace="0"/>
        </w:sectPr>
      </w:pPr>
      <w:r>
        <w:br w:type="page"/>
      </w:r>
    </w:p>
    <w:p>
      <w:pPr>
        <w:pStyle w:val="Normal"/>
        <w:keepNext w:val="false"/>
        <w:keepLines w:val="false"/>
        <w:pageBreakBefore w:val="false"/>
        <w:numPr>
          <w:ilvl w:val="0"/>
          <w:numId w:val="0"/>
        </w:numPr>
        <w:kinsoku w:val="true"/>
        <w:overflowPunct w:val="true"/>
        <w:autoSpaceDE w:val="true"/>
        <w:bidi w:val="0"/>
        <w:snapToGrid w:val="false"/>
        <w:spacing w:lineRule="exact" w:line="560"/>
        <w:ind w:hanging="0" w:left="0" w:right="0"/>
        <w:textAlignment w:val="auto"/>
        <w:rPr>
          <w:rFonts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ascii="Times New Roman" w:hAnsi="Times New Roman" w:cs="Times New Roman" w:eastAsia="黑体"/>
          <w:sz w:val="32"/>
          <w:szCs w:val="40"/>
          <w:lang w:val="en-US" w:eastAsia="zh-CN"/>
        </w:rPr>
        <w:t>附件</w:t>
      </w:r>
      <w:r>
        <w:rPr>
          <w:rFonts w:eastAsia="黑体" w:cs="Times New Roman"/>
          <w:sz w:val="32"/>
          <w:szCs w:val="40"/>
          <w:lang w:val="en-US" w:eastAsia="zh-CN"/>
        </w:rPr>
        <w:t>2-1</w:t>
      </w:r>
    </w:p>
    <w:p>
      <w:pPr>
        <w:pStyle w:val="BodyText"/>
        <w:rPr>
          <w:rFonts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eastAsia="黑体" w:cs="Times New Roman" w:ascii="Times New Roman" w:hAnsi="Times New Roman"/>
          <w:sz w:val="32"/>
          <w:szCs w:val="40"/>
          <w:lang w:val="en-US" w:eastAsia="zh-CN"/>
        </w:rPr>
      </w:r>
    </w:p>
    <w:p>
      <w:pPr>
        <w:pStyle w:val="2"/>
        <w:keepNext w:val="false"/>
        <w:keepLines w:val="false"/>
        <w:pageBreakBefore w:val="false"/>
        <w:widowControl w:val="false"/>
        <w:kinsoku w:val="true"/>
        <w:overflowPunct w:val="true"/>
        <w:autoSpaceDE w:val="true"/>
        <w:bidi w:val="0"/>
        <w:snapToGrid w:val="true"/>
        <w:spacing w:lineRule="exact" w:line="560"/>
        <w:ind w:hanging="0" w:right="0"/>
        <w:jc w:val="center"/>
        <w:textAlignment w:val="auto"/>
        <w:rPr>
          <w:rFonts w:ascii="Times New Roman" w:hAnsi="Times New Roman" w:eastAsia="仿宋" w:cs="Times New Roman"/>
          <w:b/>
          <w:bCs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ascii="Times New Roman" w:hAnsi="Times New Roman" w:cs="Times New Roman" w:eastAsia="仿宋"/>
          <w:b/>
          <w:bCs/>
          <w:color w:val="000000"/>
          <w:kern w:val="0"/>
          <w:sz w:val="44"/>
          <w:szCs w:val="44"/>
          <w:lang w:val="en-US" w:eastAsia="zh-CN"/>
        </w:rPr>
        <w:t>创新成果汇总表</w:t>
      </w:r>
    </w:p>
    <w:tbl>
      <w:tblPr>
        <w:tblW w:w="137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487"/>
        <w:gridCol w:w="2487"/>
        <w:gridCol w:w="2487"/>
        <w:gridCol w:w="2487"/>
        <w:gridCol w:w="2493"/>
      </w:tblGrid>
      <w:tr>
        <w:trPr>
          <w:trHeight w:val="567" w:hRule="atLeast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黑体" w:cs="Times New Roman"/>
                <w:b w:val="false"/>
                <w:bCs w:val="false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eastAsia="黑体"/>
                <w:b w:val="false"/>
                <w:bCs w:val="false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黑体" w:cs="Times New Roman"/>
                <w:b w:val="false"/>
                <w:bCs w:val="false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eastAsia="黑体"/>
                <w:b w:val="false"/>
                <w:bCs w:val="false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黑体" w:cs="Times New Roman"/>
                <w:b w:val="false"/>
                <w:bCs w:val="false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eastAsia="黑体"/>
                <w:b w:val="false"/>
                <w:bCs w:val="false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  <w:t>成果内容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黑体" w:cs="Times New Roman"/>
                <w:b w:val="false"/>
                <w:bCs w:val="false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eastAsia="黑体"/>
                <w:b w:val="false"/>
                <w:bCs w:val="false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  <w:t>技术水平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黑体" w:cs="Times New Roman"/>
                <w:b w:val="false"/>
                <w:bCs w:val="false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eastAsia="黑体"/>
                <w:b w:val="false"/>
                <w:bCs w:val="false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  <w:t>合作单位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黑体" w:cs="Times New Roman"/>
                <w:b w:val="false"/>
                <w:bCs w:val="false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eastAsia="黑体"/>
                <w:b w:val="false"/>
                <w:bCs w:val="false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  <w:t>推广价值</w:t>
            </w:r>
          </w:p>
        </w:tc>
      </w:tr>
      <w:tr>
        <w:trPr>
          <w:trHeight w:val="567" w:hRule="atLeast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b w:val="false"/>
                <w:bCs w:val="false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b w:val="false"/>
                <w:bCs w:val="false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</w:tr>
      <w:tr>
        <w:trPr>
          <w:trHeight w:val="567" w:hRule="atLeast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3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32"/>
                <w:sz w:val="32"/>
                <w:szCs w:val="32"/>
                <w:vertAlign w:val="baseline"/>
                <w:lang w:val="en-US" w:eastAsia="zh-CN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3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32"/>
                <w:sz w:val="32"/>
                <w:szCs w:val="32"/>
                <w:vertAlign w:val="baseline"/>
                <w:lang w:val="en-US" w:eastAsia="zh-CN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3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32"/>
                <w:sz w:val="32"/>
                <w:szCs w:val="32"/>
                <w:vertAlign w:val="baseline"/>
                <w:lang w:val="en-US" w:eastAsia="zh-CN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3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32"/>
                <w:sz w:val="32"/>
                <w:szCs w:val="32"/>
                <w:vertAlign w:val="baseline"/>
                <w:lang w:val="en-US" w:eastAsia="zh-CN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3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32"/>
                <w:sz w:val="32"/>
                <w:szCs w:val="32"/>
                <w:vertAlign w:val="baseline"/>
                <w:lang w:val="en-US" w:eastAsia="zh-CN"/>
              </w:rPr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3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32"/>
                <w:sz w:val="32"/>
                <w:szCs w:val="32"/>
                <w:vertAlign w:val="baseline"/>
                <w:lang w:val="en-US" w:eastAsia="zh-CN"/>
              </w:rPr>
            </w:r>
          </w:p>
        </w:tc>
      </w:tr>
    </w:tbl>
    <w:p>
      <w:pPr>
        <w:pStyle w:val="Normal"/>
        <w:numPr>
          <w:ilvl w:val="0"/>
          <w:numId w:val="0"/>
        </w:numPr>
        <w:snapToGrid w:val="false"/>
        <w:spacing w:lineRule="auto" w:line="240"/>
        <w:ind w:hanging="0" w:left="0" w:right="0"/>
        <w:rPr>
          <w:rFonts w:ascii="Times New Roman" w:hAnsi="Times New Roman" w:eastAsia="黑体" w:cs="Times New Roman"/>
          <w:sz w:val="32"/>
          <w:szCs w:val="40"/>
          <w:lang w:val="en-US" w:eastAsia="zh-CN"/>
        </w:rPr>
      </w:pPr>
      <w:r>
        <w:br w:type="page"/>
      </w:r>
      <w:r>
        <w:rPr>
          <w:rFonts w:ascii="Times New Roman" w:hAnsi="Times New Roman" w:cs="Times New Roman" w:eastAsia="黑体"/>
          <w:sz w:val="32"/>
          <w:szCs w:val="40"/>
          <w:lang w:val="en-US" w:eastAsia="zh-CN"/>
        </w:rPr>
        <w:t>附件</w:t>
      </w:r>
      <w:r>
        <w:rPr>
          <w:rFonts w:eastAsia="黑体" w:cs="Times New Roman"/>
          <w:sz w:val="32"/>
          <w:szCs w:val="40"/>
          <w:lang w:val="en-US" w:eastAsia="zh-CN"/>
        </w:rPr>
        <w:t>2-2</w:t>
      </w:r>
    </w:p>
    <w:p>
      <w:pPr>
        <w:pStyle w:val="BodyText"/>
        <w:rPr>
          <w:rFonts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eastAsia="黑体" w:cs="Times New Roman" w:ascii="Times New Roman" w:hAnsi="Times New Roman"/>
          <w:sz w:val="32"/>
          <w:szCs w:val="40"/>
          <w:lang w:val="en-US" w:eastAsia="zh-CN"/>
        </w:rPr>
      </w:r>
    </w:p>
    <w:p>
      <w:pPr>
        <w:pStyle w:val="2"/>
        <w:keepNext w:val="false"/>
        <w:keepLines w:val="false"/>
        <w:pageBreakBefore w:val="false"/>
        <w:widowControl w:val="false"/>
        <w:kinsoku w:val="true"/>
        <w:overflowPunct w:val="true"/>
        <w:autoSpaceDE w:val="true"/>
        <w:bidi w:val="0"/>
        <w:snapToGrid w:val="true"/>
        <w:spacing w:lineRule="exact" w:line="560"/>
        <w:ind w:hanging="0" w:right="0"/>
        <w:jc w:val="center"/>
        <w:textAlignment w:val="auto"/>
        <w:rPr>
          <w:rFonts w:ascii="Times New Roman" w:hAnsi="Times New Roman" w:eastAsia="仿宋" w:cs="Times New Roman"/>
          <w:b/>
          <w:bCs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ascii="Times New Roman" w:hAnsi="Times New Roman" w:cs="Times New Roman" w:eastAsia="仿宋"/>
          <w:b/>
          <w:bCs/>
          <w:color w:val="000000"/>
          <w:kern w:val="0"/>
          <w:sz w:val="44"/>
          <w:szCs w:val="44"/>
          <w:lang w:val="en-US" w:eastAsia="zh-CN"/>
        </w:rPr>
        <w:t>重点项目汇总表</w:t>
      </w:r>
    </w:p>
    <w:tbl>
      <w:tblPr>
        <w:tblW w:w="137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833"/>
        <w:gridCol w:w="1833"/>
        <w:gridCol w:w="1833"/>
        <w:gridCol w:w="1833"/>
        <w:gridCol w:w="1833"/>
        <w:gridCol w:w="1833"/>
        <w:gridCol w:w="1837"/>
      </w:tblGrid>
      <w:tr>
        <w:trPr>
          <w:trHeight w:val="567" w:hRule="atLeast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黑体" w:hAnsi="黑体" w:eastAsia="黑体" w:cs="黑体"/>
                <w:b w:val="false"/>
                <w:bCs w:val="false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黑体" w:hAnsi="黑体" w:cs="黑体" w:eastAsia="黑体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黑体" w:hAnsi="黑体" w:eastAsia="黑体" w:cs="黑体"/>
                <w:b w:val="false"/>
                <w:bCs w:val="false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黑体" w:hAnsi="黑体" w:cs="黑体" w:eastAsia="黑体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黑体" w:hAnsi="黑体" w:eastAsia="黑体" w:cs="黑体"/>
                <w:b w:val="false"/>
                <w:bCs w:val="false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黑体" w:hAnsi="黑体" w:cs="黑体" w:eastAsia="黑体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黑体" w:hAnsi="黑体" w:eastAsia="黑体" w:cs="黑体"/>
                <w:b w:val="false"/>
                <w:bCs w:val="false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黑体" w:hAnsi="黑体" w:cs="黑体" w:eastAsia="黑体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黑体" w:hAnsi="黑体" w:eastAsia="黑体" w:cs="黑体"/>
                <w:b w:val="false"/>
                <w:bCs w:val="false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黑体" w:hAnsi="黑体" w:cs="黑体" w:eastAsia="黑体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建设</w:t>
            </w:r>
          </w:p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黑体" w:hAnsi="黑体" w:eastAsia="黑体" w:cs="黑体"/>
                <w:b w:val="false"/>
                <w:bCs w:val="false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黑体" w:hAnsi="黑体" w:cs="黑体" w:eastAsia="黑体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期限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黑体" w:hAnsi="黑体" w:eastAsia="黑体" w:cs="黑体"/>
                <w:b w:val="false"/>
                <w:bCs w:val="false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黑体" w:hAnsi="黑体" w:cs="黑体" w:eastAsia="黑体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总投资额</w:t>
            </w:r>
          </w:p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黑体" w:hAnsi="黑体" w:eastAsia="黑体" w:cs="黑体"/>
                <w:b w:val="false"/>
                <w:bCs w:val="false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黑体" w:hAnsi="黑体" w:cs="黑体" w:eastAsia="黑体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黑体" w:hAnsi="黑体" w:eastAsia="黑体" w:cs="黑体"/>
                <w:b w:val="false"/>
                <w:bCs w:val="false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黑体" w:hAnsi="黑体" w:cs="黑体" w:eastAsia="黑体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设备投资额</w:t>
            </w:r>
          </w:p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黑体" w:hAnsi="黑体" w:eastAsia="黑体" w:cs="黑体"/>
                <w:b w:val="false"/>
                <w:bCs w:val="false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黑体" w:hAnsi="黑体" w:cs="黑体" w:eastAsia="黑体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黑体" w:hAnsi="黑体" w:eastAsia="黑体" w:cs="黑体"/>
                <w:b w:val="false"/>
                <w:bCs w:val="false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黑体" w:hAnsi="黑体" w:cs="黑体" w:eastAsia="黑体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已完成投资</w:t>
            </w:r>
          </w:p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黑体" w:hAnsi="黑体" w:eastAsia="黑体" w:cs="黑体"/>
                <w:b w:val="false"/>
                <w:bCs w:val="false"/>
                <w:kern w:val="2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黑体" w:hAnsi="黑体" w:cs="黑体" w:eastAsia="黑体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黑体" w:hAnsi="黑体" w:eastAsia="黑体" w:cs="黑体"/>
                <w:b w:val="false"/>
                <w:bCs w:val="false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黑体" w:hAnsi="黑体" w:cs="黑体" w:eastAsia="黑体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效益分析</w:t>
            </w:r>
          </w:p>
          <w:p>
            <w:pPr>
              <w:pStyle w:val="Normal"/>
              <w:snapToGrid w:val="false"/>
              <w:spacing w:lineRule="auto" w:line="240"/>
              <w:ind w:hanging="0" w:right="0"/>
              <w:jc w:val="center"/>
              <w:rPr>
                <w:rFonts w:ascii="黑体" w:hAnsi="黑体" w:eastAsia="黑体" w:cs="黑体"/>
                <w:b w:val="false"/>
                <w:bCs w:val="false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黑体" w:hAnsi="黑体" w:cs="黑体" w:eastAsia="黑体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（节能减碳量、节水节材量）</w:t>
            </w:r>
          </w:p>
        </w:tc>
      </w:tr>
      <w:tr>
        <w:trPr>
          <w:trHeight w:val="567" w:hRule="atLeast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b w:val="false"/>
                <w:bCs w:val="false"/>
                <w:kern w:val="2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eastAsia="仿宋_GB2312" w:cs="Times New Roman"/>
                <w:b w:val="false"/>
                <w:bCs w:val="false"/>
                <w:kern w:val="2"/>
                <w:position w:val="0"/>
                <w:sz w:val="24"/>
                <w:sz w:val="24"/>
                <w:szCs w:val="24"/>
                <w:vertAlign w:val="baseline"/>
                <w:lang w:val="en-US" w:eastAsia="zh-CN" w:bidi="ar-SA"/>
              </w:rPr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</w:tr>
      <w:tr>
        <w:trPr>
          <w:trHeight w:val="567" w:hRule="atLeast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kinsoku w:val="true"/>
        <w:overflowPunct w:val="true"/>
        <w:autoSpaceDE w:val="true"/>
        <w:bidi w:val="0"/>
        <w:snapToGrid w:val="false"/>
        <w:spacing w:lineRule="exact" w:line="560"/>
        <w:ind w:hanging="0" w:left="0" w:right="0"/>
        <w:jc w:val="left"/>
        <w:textAlignment w:val="auto"/>
        <w:rPr>
          <w:rFonts w:ascii="Times New Roman" w:hAnsi="Times New Roman" w:eastAsia="黑体" w:cs="Times New Roman"/>
          <w:color w:val="000000"/>
          <w:spacing w:val="-4"/>
          <w:sz w:val="32"/>
          <w:szCs w:val="32"/>
          <w:lang w:val="en-US" w:eastAsia="zh-CN"/>
        </w:rPr>
      </w:pPr>
      <w:r>
        <w:rPr>
          <w:rFonts w:ascii="Times New Roman" w:hAnsi="Times New Roman" w:cs="Times New Roman" w:eastAsia="黑体"/>
          <w:sz w:val="32"/>
          <w:szCs w:val="40"/>
          <w:lang w:val="en-US" w:eastAsia="zh-CN"/>
        </w:rPr>
        <w:t>附件</w:t>
      </w:r>
      <w:r>
        <w:rPr>
          <w:rFonts w:eastAsia="黑体" w:cs="Times New Roman"/>
          <w:sz w:val="32"/>
          <w:szCs w:val="40"/>
          <w:lang w:val="en-US" w:eastAsia="zh-CN"/>
        </w:rPr>
        <w:t>2-3</w:t>
      </w:r>
    </w:p>
    <w:p>
      <w:pPr>
        <w:pStyle w:val="2"/>
        <w:keepNext w:val="false"/>
        <w:keepLines w:val="false"/>
        <w:pageBreakBefore w:val="false"/>
        <w:widowControl w:val="false"/>
        <w:kinsoku w:val="true"/>
        <w:overflowPunct w:val="true"/>
        <w:autoSpaceDE w:val="true"/>
        <w:bidi w:val="0"/>
        <w:snapToGrid w:val="true"/>
        <w:spacing w:lineRule="exact" w:line="560"/>
        <w:ind w:hanging="0" w:right="0"/>
        <w:jc w:val="center"/>
        <w:textAlignment w:val="auto"/>
        <w:rPr>
          <w:rFonts w:ascii="Times New Roman" w:hAnsi="Times New Roman" w:eastAsia="方正小标宋简体" w:cs="Times New Roman"/>
          <w:b w:val="false"/>
          <w:bCs w:val="false"/>
          <w:color w:val="000000"/>
          <w:spacing w:val="-4"/>
          <w:kern w:val="0"/>
          <w:sz w:val="44"/>
          <w:szCs w:val="44"/>
          <w:highlight w:val="none"/>
          <w:lang w:val="en-US" w:eastAsia="zh-CN"/>
        </w:rPr>
      </w:pPr>
      <w:r>
        <w:rPr>
          <w:rFonts w:eastAsia="方正小标宋简体" w:cs="Times New Roman" w:ascii="Times New Roman" w:hAnsi="Times New Roman"/>
          <w:b w:val="false"/>
          <w:bCs w:val="false"/>
          <w:color w:val="000000"/>
          <w:spacing w:val="-4"/>
          <w:kern w:val="0"/>
          <w:sz w:val="44"/>
          <w:szCs w:val="44"/>
          <w:lang w:val="en-US" w:eastAsia="zh-CN"/>
        </w:rPr>
      </w:r>
    </w:p>
    <w:p>
      <w:pPr>
        <w:pStyle w:val="2"/>
        <w:keepNext w:val="false"/>
        <w:keepLines w:val="false"/>
        <w:pageBreakBefore w:val="false"/>
        <w:widowControl w:val="false"/>
        <w:kinsoku w:val="true"/>
        <w:overflowPunct w:val="true"/>
        <w:autoSpaceDE w:val="true"/>
        <w:bidi w:val="0"/>
        <w:snapToGrid w:val="true"/>
        <w:spacing w:lineRule="exact" w:line="560"/>
        <w:ind w:hanging="0" w:right="0"/>
        <w:jc w:val="center"/>
        <w:textAlignment w:val="auto"/>
        <w:rPr>
          <w:rFonts w:ascii="Times New Roman" w:hAnsi="Times New Roman" w:eastAsia="方正小标宋简体" w:cs="Times New Roman"/>
          <w:b w:val="false"/>
          <w:bCs w:val="false"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ascii="Times New Roman" w:hAnsi="Times New Roman" w:cs="Times New Roman" w:eastAsia="方正小标宋简体"/>
          <w:b w:val="false"/>
          <w:bCs w:val="false"/>
          <w:color w:val="000000"/>
          <w:kern w:val="0"/>
          <w:sz w:val="44"/>
          <w:szCs w:val="44"/>
          <w:lang w:val="en-US" w:eastAsia="zh-CN"/>
        </w:rPr>
        <w:t>现有主要设备清单</w:t>
      </w:r>
    </w:p>
    <w:tbl>
      <w:tblPr>
        <w:tblW w:w="137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2104"/>
        <w:gridCol w:w="2104"/>
        <w:gridCol w:w="2104"/>
        <w:gridCol w:w="2104"/>
        <w:gridCol w:w="2104"/>
        <w:gridCol w:w="2109"/>
      </w:tblGrid>
      <w:tr>
        <w:trPr>
          <w:trHeight w:val="567" w:hRule="atLeast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黑体" w:cs="Times New Roman"/>
                <w:b w:val="false"/>
                <w:bCs w:val="false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eastAsia="黑体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黑体" w:cs="Times New Roman"/>
                <w:b w:val="false"/>
                <w:bCs w:val="false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eastAsia="黑体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黑体" w:cs="Times New Roman"/>
                <w:b w:val="false"/>
                <w:bCs w:val="false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eastAsia="黑体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黑体" w:cs="Times New Roman"/>
                <w:b w:val="false"/>
                <w:bCs w:val="false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eastAsia="黑体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黑体" w:cs="Times New Roman"/>
                <w:b w:val="false"/>
                <w:bCs w:val="false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eastAsia="黑体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黑体" w:cs="Times New Roman"/>
                <w:b w:val="false"/>
                <w:bCs w:val="false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eastAsia="黑体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功率（</w:t>
            </w:r>
            <w:r>
              <w:rPr>
                <w:rFonts w:eastAsia="黑体" w:cs="Times New Roman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kW</w:t>
            </w:r>
            <w:r>
              <w:rPr>
                <w:rFonts w:ascii="Times New Roman" w:hAnsi="Times New Roman" w:cs="Times New Roman" w:eastAsia="黑体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黑体" w:cs="Times New Roman"/>
                <w:b w:val="false"/>
                <w:bCs w:val="false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eastAsia="黑体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rPr>
          <w:trHeight w:val="567" w:hRule="atLeast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b w:val="false"/>
                <w:bCs w:val="false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</w:tr>
      <w:tr>
        <w:trPr>
          <w:trHeight w:val="567" w:hRule="atLeast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</w:tr>
      <w:tr>
        <w:trPr>
          <w:trHeight w:val="567" w:hRule="atLeast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</w:tr>
    </w:tbl>
    <w:p>
      <w:pPr>
        <w:pStyle w:val="2"/>
        <w:keepNext w:val="false"/>
        <w:keepLines w:val="false"/>
        <w:pageBreakBefore w:val="false"/>
        <w:widowControl w:val="false"/>
        <w:kinsoku w:val="true"/>
        <w:overflowPunct w:val="true"/>
        <w:autoSpaceDE w:val="true"/>
        <w:bidi w:val="0"/>
        <w:snapToGrid w:val="true"/>
        <w:spacing w:lineRule="exact" w:line="560"/>
        <w:ind w:hanging="0" w:right="0"/>
        <w:jc w:val="center"/>
        <w:textAlignment w:val="auto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eastAsia="仿宋" w:cs="Times New Roman" w:ascii="Times New Roman" w:hAnsi="Times New Roman"/>
          <w:b/>
          <w:bCs/>
          <w:color w:val="000000"/>
          <w:kern w:val="0"/>
          <w:sz w:val="32"/>
          <w:szCs w:val="32"/>
          <w:lang w:val="en-US" w:eastAsia="zh-CN"/>
        </w:rPr>
      </w:r>
    </w:p>
    <w:p>
      <w:pPr>
        <w:pStyle w:val="2"/>
        <w:keepNext w:val="false"/>
        <w:keepLines w:val="false"/>
        <w:pageBreakBefore w:val="false"/>
        <w:widowControl w:val="false"/>
        <w:kinsoku w:val="true"/>
        <w:overflowPunct w:val="true"/>
        <w:autoSpaceDE w:val="true"/>
        <w:bidi w:val="0"/>
        <w:snapToGrid w:val="true"/>
        <w:spacing w:lineRule="exact" w:line="560"/>
        <w:ind w:hanging="0" w:right="0"/>
        <w:jc w:val="center"/>
        <w:textAlignment w:val="auto"/>
        <w:rPr>
          <w:rFonts w:ascii="Times New Roman" w:hAnsi="Times New Roman" w:eastAsia="仿宋" w:cs="Times New Roman"/>
          <w:b/>
          <w:bCs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ascii="Times New Roman" w:hAnsi="Times New Roman" w:cs="Times New Roman" w:eastAsia="仿宋"/>
          <w:b/>
          <w:bCs/>
          <w:color w:val="000000"/>
          <w:kern w:val="0"/>
          <w:sz w:val="44"/>
          <w:szCs w:val="44"/>
          <w:lang w:val="en-US" w:eastAsia="zh-CN"/>
        </w:rPr>
        <w:t>更新设备清单</w:t>
      </w:r>
    </w:p>
    <w:tbl>
      <w:tblPr>
        <w:tblW w:w="137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2104"/>
        <w:gridCol w:w="2104"/>
        <w:gridCol w:w="2104"/>
        <w:gridCol w:w="2104"/>
        <w:gridCol w:w="2104"/>
        <w:gridCol w:w="2109"/>
      </w:tblGrid>
      <w:tr>
        <w:trPr>
          <w:trHeight w:val="567" w:hRule="atLeast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黑体" w:cs="Times New Roman"/>
                <w:b w:val="false"/>
                <w:bCs w:val="false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eastAsia="黑体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黑体" w:cs="Times New Roman"/>
                <w:b w:val="false"/>
                <w:bCs w:val="false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eastAsia="黑体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黑体" w:cs="Times New Roman"/>
                <w:b w:val="false"/>
                <w:bCs w:val="false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eastAsia="黑体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黑体" w:cs="Times New Roman"/>
                <w:b w:val="false"/>
                <w:bCs w:val="false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eastAsia="黑体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黑体" w:cs="Times New Roman"/>
                <w:b w:val="false"/>
                <w:bCs w:val="false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eastAsia="黑体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黑体" w:cs="Times New Roman"/>
                <w:b w:val="false"/>
                <w:bCs w:val="false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eastAsia="黑体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功率（</w:t>
            </w:r>
            <w:r>
              <w:rPr>
                <w:rFonts w:eastAsia="黑体" w:cs="Times New Roman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kW</w:t>
            </w:r>
            <w:r>
              <w:rPr>
                <w:rFonts w:ascii="Times New Roman" w:hAnsi="Times New Roman" w:cs="Times New Roman" w:eastAsia="黑体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黑体" w:cs="Times New Roman"/>
                <w:b w:val="false"/>
                <w:bCs w:val="false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eastAsia="黑体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rPr>
          <w:trHeight w:val="567" w:hRule="atLeast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b w:val="false"/>
                <w:bCs w:val="false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</w:tr>
      <w:tr>
        <w:trPr>
          <w:trHeight w:val="567" w:hRule="atLeast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</w:tr>
      <w:tr>
        <w:trPr>
          <w:trHeight w:val="567" w:hRule="atLeast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kinsoku w:val="true"/>
              <w:overflowPunct w:val="true"/>
              <w:autoSpaceDE w:val="true"/>
              <w:bidi w:val="0"/>
              <w:snapToGrid w:val="false"/>
              <w:spacing w:lineRule="auto" w:line="240"/>
              <w:ind w:hanging="0" w:right="0"/>
              <w:jc w:val="center"/>
              <w:textAlignment w:val="auto"/>
              <w:rPr>
                <w:rFonts w:ascii="Times New Roman" w:hAnsi="Times New Roman" w:eastAsia="仿宋_GB2312" w:cs="Times New Roman"/>
                <w:position w:val="0"/>
                <w:sz w:val="28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 w:cs="Times New Roman"/>
                <w:position w:val="0"/>
                <w:sz w:val="28"/>
                <w:sz w:val="28"/>
                <w:szCs w:val="28"/>
                <w:vertAlign w:val="baseline"/>
                <w:lang w:val="en-US" w:eastAsia="zh-CN"/>
              </w:rPr>
            </w:r>
          </w:p>
        </w:tc>
      </w:tr>
    </w:tbl>
    <w:p>
      <w:pPr>
        <w:pStyle w:val="Style15"/>
        <w:spacing w:before="0" w:after="140"/>
        <w:ind w:hanging="0" w:right="0"/>
        <w:rPr/>
      </w:pPr>
      <w:r>
        <w:rPr/>
      </w:r>
    </w:p>
    <w:sectPr>
      <w:footerReference w:type="default" r:id="rId11"/>
      <w:type w:val="nextPage"/>
      <w:pgSz w:orient="landscape" w:w="16838" w:h="11906"/>
      <w:pgMar w:left="1984" w:right="2097" w:gutter="0" w:header="0" w:top="1587" w:footer="1814" w:bottom="1870"/>
      <w:pgNumType w:fmt="decimal"/>
      <w:formProt w:val="false"/>
      <w:textDirection w:val="lrTb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roman"/>
    <w:pitch w:val="default"/>
  </w:font>
  <w:font w:name="Liberation Sans">
    <w:altName w:val="Arial"/>
    <w:charset w:val="00"/>
    <w:family w:val="swiss"/>
    <w:pitch w:val="variable"/>
  </w:font>
  <w:font w:name="Calibri">
    <w:altName w:val="DejaVu Sans"/>
    <w:charset w:val="00"/>
    <w:family w:val="swiss"/>
    <w:pitch w:val="default"/>
  </w:font>
  <w:font w:name="方正小标宋简体">
    <w:charset w:val="86"/>
    <w:family w:val="auto"/>
    <w:pitch w:val="default"/>
  </w:font>
  <w:font w:name="仿宋_GB2312">
    <w:charset w:val="86"/>
    <w:family w:val="modern"/>
    <w:pitch w:val="default"/>
  </w:font>
  <w:font w:name="楷体_GB2312">
    <w:altName w:val="楷体"/>
    <w:charset w:val="00"/>
    <w:family w:val="modern"/>
    <w:pitch w:val="default"/>
  </w:font>
  <w:font w:name="黑体">
    <w:charset w:val="86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napToGrid w:val="false"/>
      <w:ind w:firstLine="880" w:right="0"/>
      <w:jc w:val="left"/>
      <w:rPr>
        <w:rFonts w:ascii="Calibri;DejaVu Sans" w:hAnsi="Calibri;DejaVu Sans" w:eastAsia="宋体;方正书宋_GBK" w:cs="Times New Roman"/>
        <w:kern w:val="2"/>
        <w:sz w:val="18"/>
        <w:szCs w:val="18"/>
        <w:lang w:val="en-US" w:eastAsia="zh-CN" w:bidi="ar-SA"/>
      </w:rPr>
    </w:pPr>
    <w:r>
      <w:rPr>
        <w:rFonts w:eastAsia="宋体;方正书宋_GBK" w:cs="Times New Roman" w:ascii="Calibri;DejaVu Sans" w:hAnsi="Calibri;DejaVu Sans"/>
        <w:kern w:val="2"/>
        <w:sz w:val="18"/>
        <w:szCs w:val="18"/>
        <w:lang w:val="en-US" w:eastAsia="zh-CN" w:bidi="ar-SA"/>
      </w:rPr>
    </w:r>
    <w:r>
      <mc:AlternateContent>
        <mc:Choice Requires="wps">
          <w:drawing>
            <wp:anchor behindDoc="1" distT="0" distB="0" distL="114935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35305" cy="356870"/>
              <wp:effectExtent l="0" t="0" r="0" b="0"/>
              <wp:wrapNone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305" cy="3568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widowControl w:val="false"/>
                            <w:snapToGrid w:val="false"/>
                            <w:spacing w:lineRule="exact" w:line="560"/>
                            <w:ind w:hanging="0" w:right="0"/>
                            <w:jc w:val="left"/>
                            <w:rPr/>
                          </w:pPr>
                          <w:r>
                            <w:rPr>
                              <w:rFonts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  <w:r>
                            <w:rPr>
                              <w:rFonts w:eastAsia="Times New Roman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kern w:val="2"/>
                              <w:szCs w:val="28"/>
                              <w:rFonts w:eastAsia="仿宋_GB2312" w:cs="Times New Roman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kern w:val="2"/>
                              <w:szCs w:val="28"/>
                              <w:rFonts w:eastAsia="仿宋_GB2312" w:cs="Times New Roman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kern w:val="2"/>
                              <w:szCs w:val="28"/>
                              <w:rFonts w:eastAsia="仿宋_GB2312" w:cs="Times New Roman"/>
                              <w:lang w:val="en-US" w:eastAsia="zh-CN" w:bidi="ar-SA"/>
                            </w:rPr>
                            <w:t>4</w:t>
                          </w:r>
                          <w:r>
                            <w:rPr>
                              <w:sz w:val="28"/>
                              <w:kern w:val="2"/>
                              <w:szCs w:val="28"/>
                              <w:rFonts w:eastAsia="仿宋_GB2312" w:cs="Times New Roman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eastAsia="Times New Roman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anchor="t" lIns="635" tIns="635" rIns="635" bIns="635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2.15pt;height:28.1pt;mso-wrap-distance-left:9.05pt;mso-wrap-distance-right:0pt;mso-wrap-distance-top:0pt;mso-wrap-distance-bottom:0pt;margin-top:0pt;mso-position-vertical-relative:text;margin-left:9.05pt;mso-position-horizontal:outside;mso-position-horizontal-relative:margin">
              <v:fill opacity="0f"/>
              <v:textbox inset="0.000694444444444445in,0.000694444444444445in,0.000694444444444445in,0.000694444444444445in">
                <w:txbxContent>
                  <w:p>
                    <w:pPr>
                      <w:pStyle w:val="Normal"/>
                      <w:widowControl w:val="false"/>
                      <w:snapToGrid w:val="false"/>
                      <w:spacing w:lineRule="exact" w:line="560"/>
                      <w:ind w:hanging="0" w:right="0"/>
                      <w:jc w:val="left"/>
                      <w:rPr/>
                    </w:pPr>
                    <w:r>
                      <w:rPr>
                        <w:rFonts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  <w:r>
                      <w:rPr>
                        <w:rFonts w:eastAsia="Times New Roman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sz w:val="28"/>
                        <w:kern w:val="2"/>
                        <w:szCs w:val="28"/>
                        <w:rFonts w:eastAsia="仿宋_GB2312" w:cs="Times New Roman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sz w:val="28"/>
                        <w:kern w:val="2"/>
                        <w:szCs w:val="28"/>
                        <w:rFonts w:eastAsia="仿宋_GB2312" w:cs="Times New Roman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sz w:val="28"/>
                        <w:kern w:val="2"/>
                        <w:szCs w:val="28"/>
                        <w:rFonts w:eastAsia="仿宋_GB2312" w:cs="Times New Roman"/>
                        <w:lang w:val="en-US" w:eastAsia="zh-CN" w:bidi="ar-SA"/>
                      </w:rPr>
                      <w:t>4</w:t>
                    </w:r>
                    <w:r>
                      <w:rPr>
                        <w:sz w:val="28"/>
                        <w:kern w:val="2"/>
                        <w:szCs w:val="28"/>
                        <w:rFonts w:eastAsia="仿宋_GB2312" w:cs="Times New Roman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eastAsia="Times New Roman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napToGrid w:val="false"/>
      <w:ind w:firstLine="880" w:right="0"/>
      <w:jc w:val="left"/>
      <w:rPr>
        <w:rFonts w:ascii="Calibri;DejaVu Sans" w:hAnsi="Calibri;DejaVu Sans" w:eastAsia="宋体;方正书宋_GBK" w:cs="Times New Roman"/>
        <w:kern w:val="2"/>
        <w:sz w:val="18"/>
        <w:szCs w:val="18"/>
        <w:lang w:val="en-US" w:eastAsia="zh-CN" w:bidi="ar-SA"/>
      </w:rPr>
    </w:pPr>
    <w:r>
      <w:rPr>
        <w:rFonts w:eastAsia="宋体;方正书宋_GBK" w:cs="Times New Roman" w:ascii="Calibri;DejaVu Sans" w:hAnsi="Calibri;DejaVu Sans"/>
        <w:kern w:val="2"/>
        <w:sz w:val="18"/>
        <w:szCs w:val="18"/>
        <w:lang w:val="en-US" w:eastAsia="zh-CN" w:bidi="ar-SA"/>
      </w:rPr>
    </w:r>
    <w:r>
      <mc:AlternateContent>
        <mc:Choice Requires="wps">
          <w:drawing>
            <wp:anchor behindDoc="1" distT="0" distB="0" distL="114935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35305" cy="356870"/>
              <wp:effectExtent l="0" t="0" r="0" b="0"/>
              <wp:wrapNone/>
              <wp:docPr id="2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305" cy="3568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widowControl w:val="false"/>
                            <w:snapToGrid w:val="false"/>
                            <w:spacing w:lineRule="exact" w:line="560"/>
                            <w:ind w:hanging="0" w:right="0"/>
                            <w:jc w:val="left"/>
                            <w:rPr/>
                          </w:pPr>
                          <w:r>
                            <w:rPr>
                              <w:rFonts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  <w:r>
                            <w:rPr>
                              <w:rFonts w:eastAsia="Times New Roman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kern w:val="2"/>
                              <w:szCs w:val="28"/>
                              <w:rFonts w:eastAsia="仿宋_GB2312" w:cs="Times New Roman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kern w:val="2"/>
                              <w:szCs w:val="28"/>
                              <w:rFonts w:eastAsia="仿宋_GB2312" w:cs="Times New Roman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kern w:val="2"/>
                              <w:szCs w:val="28"/>
                              <w:rFonts w:eastAsia="仿宋_GB2312" w:cs="Times New Roman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sz w:val="28"/>
                              <w:kern w:val="2"/>
                              <w:szCs w:val="28"/>
                              <w:rFonts w:eastAsia="仿宋_GB2312" w:cs="Times New Roman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eastAsia="Times New Roman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anchor="t" lIns="635" tIns="635" rIns="635" bIns="635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2.15pt;height:28.1pt;mso-wrap-distance-left:9.05pt;mso-wrap-distance-right:0pt;mso-wrap-distance-top:0pt;mso-wrap-distance-bottom:0pt;margin-top:0pt;mso-position-vertical-relative:text;margin-left:9.05pt;mso-position-horizontal:outside;mso-position-horizontal-relative:margin">
              <v:fill opacity="0f"/>
              <v:textbox inset="0.000694444444444445in,0.000694444444444445in,0.000694444444444445in,0.000694444444444445in">
                <w:txbxContent>
                  <w:p>
                    <w:pPr>
                      <w:pStyle w:val="Normal"/>
                      <w:widowControl w:val="false"/>
                      <w:snapToGrid w:val="false"/>
                      <w:spacing w:lineRule="exact" w:line="560"/>
                      <w:ind w:hanging="0" w:right="0"/>
                      <w:jc w:val="left"/>
                      <w:rPr/>
                    </w:pPr>
                    <w:r>
                      <w:rPr>
                        <w:rFonts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  <w:r>
                      <w:rPr>
                        <w:rFonts w:eastAsia="Times New Roman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sz w:val="28"/>
                        <w:kern w:val="2"/>
                        <w:szCs w:val="28"/>
                        <w:rFonts w:eastAsia="仿宋_GB2312" w:cs="Times New Roman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sz w:val="28"/>
                        <w:kern w:val="2"/>
                        <w:szCs w:val="28"/>
                        <w:rFonts w:eastAsia="仿宋_GB2312" w:cs="Times New Roman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sz w:val="28"/>
                        <w:kern w:val="2"/>
                        <w:szCs w:val="28"/>
                        <w:rFonts w:eastAsia="仿宋_GB2312" w:cs="Times New Roman"/>
                        <w:lang w:val="en-US" w:eastAsia="zh-CN" w:bidi="ar-SA"/>
                      </w:rPr>
                      <w:t>6</w:t>
                    </w:r>
                    <w:r>
                      <w:rPr>
                        <w:sz w:val="28"/>
                        <w:kern w:val="2"/>
                        <w:szCs w:val="28"/>
                        <w:rFonts w:eastAsia="仿宋_GB2312" w:cs="Times New Roman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eastAsia="Times New Roman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napToGrid w:val="false"/>
      <w:ind w:firstLine="880" w:right="0"/>
      <w:jc w:val="left"/>
      <w:rPr>
        <w:rFonts w:ascii="Calibri;DejaVu Sans" w:hAnsi="Calibri;DejaVu Sans" w:eastAsia="宋体;方正书宋_GBK" w:cs="Times New Roman"/>
        <w:kern w:val="2"/>
        <w:sz w:val="18"/>
        <w:szCs w:val="18"/>
        <w:lang w:val="en-US" w:eastAsia="zh-CN" w:bidi="ar-SA"/>
      </w:rPr>
    </w:pPr>
    <w:r>
      <w:rPr>
        <w:rFonts w:eastAsia="宋体;方正书宋_GBK" w:cs="Times New Roman" w:ascii="Calibri;DejaVu Sans" w:hAnsi="Calibri;DejaVu Sans"/>
        <w:kern w:val="2"/>
        <w:sz w:val="18"/>
        <w:szCs w:val="18"/>
        <w:lang w:val="en-US" w:eastAsia="zh-CN" w:bidi="ar-SA"/>
      </w:rPr>
    </w:r>
    <w:r>
      <mc:AlternateContent>
        <mc:Choice Requires="wps">
          <w:drawing>
            <wp:anchor behindDoc="1" distT="0" distB="0" distL="114935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35305" cy="356870"/>
              <wp:effectExtent l="0" t="0" r="0" b="0"/>
              <wp:wrapNone/>
              <wp:docPr id="3" name="Frame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305" cy="3568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widowControl w:val="false"/>
                            <w:snapToGrid w:val="false"/>
                            <w:spacing w:lineRule="exact" w:line="560"/>
                            <w:ind w:hanging="0" w:right="0"/>
                            <w:jc w:val="left"/>
                            <w:rPr/>
                          </w:pPr>
                          <w:r>
                            <w:rPr>
                              <w:rFonts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  <w:r>
                            <w:rPr>
                              <w:rFonts w:eastAsia="Times New Roman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kern w:val="2"/>
                              <w:szCs w:val="28"/>
                              <w:rFonts w:eastAsia="仿宋_GB2312" w:cs="Times New Roman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kern w:val="2"/>
                              <w:szCs w:val="28"/>
                              <w:rFonts w:eastAsia="仿宋_GB2312" w:cs="Times New Roman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kern w:val="2"/>
                              <w:szCs w:val="28"/>
                              <w:rFonts w:eastAsia="仿宋_GB2312" w:cs="Times New Roman"/>
                              <w:lang w:val="en-US" w:eastAsia="zh-CN" w:bidi="ar-SA"/>
                            </w:rPr>
                            <w:t>8</w:t>
                          </w:r>
                          <w:r>
                            <w:rPr>
                              <w:sz w:val="28"/>
                              <w:kern w:val="2"/>
                              <w:szCs w:val="28"/>
                              <w:rFonts w:eastAsia="仿宋_GB2312" w:cs="Times New Roman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eastAsia="Times New Roman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anchor="t" lIns="635" tIns="635" rIns="635" bIns="635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2.15pt;height:28.1pt;mso-wrap-distance-left:9.05pt;mso-wrap-distance-right:0pt;mso-wrap-distance-top:0pt;mso-wrap-distance-bottom:0pt;margin-top:0pt;mso-position-vertical-relative:text;margin-left:9.05pt;mso-position-horizontal:outside;mso-position-horizontal-relative:margin">
              <v:fill opacity="0f"/>
              <v:textbox inset="0.000694444444444445in,0.000694444444444445in,0.000694444444444445in,0.000694444444444445in">
                <w:txbxContent>
                  <w:p>
                    <w:pPr>
                      <w:pStyle w:val="Normal"/>
                      <w:widowControl w:val="false"/>
                      <w:snapToGrid w:val="false"/>
                      <w:spacing w:lineRule="exact" w:line="560"/>
                      <w:ind w:hanging="0" w:right="0"/>
                      <w:jc w:val="left"/>
                      <w:rPr/>
                    </w:pPr>
                    <w:r>
                      <w:rPr>
                        <w:rFonts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  <w:r>
                      <w:rPr>
                        <w:rFonts w:eastAsia="Times New Roman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sz w:val="28"/>
                        <w:kern w:val="2"/>
                        <w:szCs w:val="28"/>
                        <w:rFonts w:eastAsia="仿宋_GB2312" w:cs="Times New Roman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sz w:val="28"/>
                        <w:kern w:val="2"/>
                        <w:szCs w:val="28"/>
                        <w:rFonts w:eastAsia="仿宋_GB2312" w:cs="Times New Roman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sz w:val="28"/>
                        <w:kern w:val="2"/>
                        <w:szCs w:val="28"/>
                        <w:rFonts w:eastAsia="仿宋_GB2312" w:cs="Times New Roman"/>
                        <w:lang w:val="en-US" w:eastAsia="zh-CN" w:bidi="ar-SA"/>
                      </w:rPr>
                      <w:t>8</w:t>
                    </w:r>
                    <w:r>
                      <w:rPr>
                        <w:sz w:val="28"/>
                        <w:kern w:val="2"/>
                        <w:szCs w:val="28"/>
                        <w:rFonts w:eastAsia="仿宋_GB2312" w:cs="Times New Roman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eastAsia="Times New Roman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napToGrid w:val="false"/>
      <w:ind w:firstLine="880" w:right="0"/>
      <w:jc w:val="left"/>
      <w:rPr>
        <w:rFonts w:ascii="Calibri;DejaVu Sans" w:hAnsi="Calibri;DejaVu Sans" w:eastAsia="宋体;方正书宋_GBK" w:cs="Times New Roman"/>
        <w:kern w:val="2"/>
        <w:sz w:val="18"/>
        <w:szCs w:val="18"/>
        <w:lang w:val="en-US" w:eastAsia="zh-CN" w:bidi="ar-SA"/>
      </w:rPr>
    </w:pPr>
    <w:r>
      <w:rPr>
        <w:rFonts w:eastAsia="宋体;方正书宋_GBK" w:cs="Times New Roman" w:ascii="Calibri;DejaVu Sans" w:hAnsi="Calibri;DejaVu Sans"/>
        <w:kern w:val="2"/>
        <w:sz w:val="18"/>
        <w:szCs w:val="18"/>
        <w:lang w:val="en-US" w:eastAsia="zh-CN" w:bidi="ar-SA"/>
      </w:rPr>
    </w:r>
    <w:r>
      <mc:AlternateContent>
        <mc:Choice Requires="wps">
          <w:drawing>
            <wp:anchor behindDoc="1" distT="0" distB="0" distL="114935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24205" cy="356870"/>
              <wp:effectExtent l="0" t="0" r="0" b="0"/>
              <wp:wrapNone/>
              <wp:docPr id="4" name="Frame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3568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widowControl w:val="false"/>
                            <w:snapToGrid w:val="false"/>
                            <w:spacing w:lineRule="exact" w:line="560"/>
                            <w:ind w:hanging="0" w:right="0"/>
                            <w:jc w:val="left"/>
                            <w:rPr/>
                          </w:pPr>
                          <w:r>
                            <w:rPr>
                              <w:rFonts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  <w:r>
                            <w:rPr>
                              <w:rFonts w:eastAsia="Times New Roman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kern w:val="2"/>
                              <w:szCs w:val="28"/>
                              <w:rFonts w:eastAsia="仿宋_GB2312" w:cs="Times New Roman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kern w:val="2"/>
                              <w:szCs w:val="28"/>
                              <w:rFonts w:eastAsia="仿宋_GB2312" w:cs="Times New Roman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kern w:val="2"/>
                              <w:szCs w:val="28"/>
                              <w:rFonts w:eastAsia="仿宋_GB2312" w:cs="Times New Roman"/>
                              <w:lang w:val="en-US" w:eastAsia="zh-CN" w:bidi="ar-SA"/>
                            </w:rPr>
                            <w:t>10</w:t>
                          </w:r>
                          <w:r>
                            <w:rPr>
                              <w:sz w:val="28"/>
                              <w:kern w:val="2"/>
                              <w:szCs w:val="28"/>
                              <w:rFonts w:eastAsia="仿宋_GB2312" w:cs="Times New Roman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eastAsia="Times New Roman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anchor="t" lIns="635" tIns="635" rIns="635" bIns="635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9.15pt;height:28.1pt;mso-wrap-distance-left:9.05pt;mso-wrap-distance-right:0pt;mso-wrap-distance-top:0pt;mso-wrap-distance-bottom:0pt;margin-top:0pt;mso-position-vertical-relative:text;margin-left:9.05pt;mso-position-horizontal:outside;mso-position-horizontal-relative:margin">
              <v:fill opacity="0f"/>
              <v:textbox inset="0.000694444444444445in,0.000694444444444445in,0.000694444444444445in,0.000694444444444445in">
                <w:txbxContent>
                  <w:p>
                    <w:pPr>
                      <w:pStyle w:val="Normal"/>
                      <w:widowControl w:val="false"/>
                      <w:snapToGrid w:val="false"/>
                      <w:spacing w:lineRule="exact" w:line="560"/>
                      <w:ind w:hanging="0" w:right="0"/>
                      <w:jc w:val="left"/>
                      <w:rPr/>
                    </w:pPr>
                    <w:r>
                      <w:rPr>
                        <w:rFonts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  <w:r>
                      <w:rPr>
                        <w:rFonts w:eastAsia="Times New Roman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sz w:val="28"/>
                        <w:kern w:val="2"/>
                        <w:szCs w:val="28"/>
                        <w:rFonts w:eastAsia="仿宋_GB2312" w:cs="Times New Roman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sz w:val="28"/>
                        <w:kern w:val="2"/>
                        <w:szCs w:val="28"/>
                        <w:rFonts w:eastAsia="仿宋_GB2312" w:cs="Times New Roman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sz w:val="28"/>
                        <w:kern w:val="2"/>
                        <w:szCs w:val="28"/>
                        <w:rFonts w:eastAsia="仿宋_GB2312" w:cs="Times New Roman"/>
                        <w:lang w:val="en-US" w:eastAsia="zh-CN" w:bidi="ar-SA"/>
                      </w:rPr>
                      <w:t>10</w:t>
                    </w:r>
                    <w:r>
                      <w:rPr>
                        <w:sz w:val="28"/>
                        <w:kern w:val="2"/>
                        <w:szCs w:val="28"/>
                        <w:rFonts w:eastAsia="仿宋_GB2312" w:cs="Times New Roman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eastAsia="Times New Roman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napToGrid w:val="false"/>
      <w:spacing w:lineRule="exact" w:line="560"/>
      <w:ind w:firstLine="360" w:right="0"/>
      <w:jc w:val="left"/>
      <w:rPr>
        <w:rFonts w:ascii="Calibri;DejaVu Sans" w:hAnsi="Calibri;DejaVu Sans" w:eastAsia="仿宋_GB2312" w:cs="Times New Roman"/>
        <w:kern w:val="2"/>
        <w:sz w:val="18"/>
        <w:szCs w:val="24"/>
        <w:lang w:val="en-US" w:eastAsia="zh-CN" w:bidi="ar-SA"/>
      </w:rPr>
    </w:pPr>
    <w:r>
      <w:rPr>
        <w:rFonts w:eastAsia="仿宋_GB2312" w:cs="Times New Roman" w:ascii="Calibri;DejaVu Sans" w:hAnsi="Calibri;DejaVu Sans"/>
        <w:kern w:val="2"/>
        <w:sz w:val="18"/>
        <w:szCs w:val="24"/>
        <w:lang w:val="en-US" w:eastAsia="zh-CN" w:bidi="ar-SA"/>
      </w:rPr>
    </w:r>
    <w:r>
      <mc:AlternateContent>
        <mc:Choice Requires="wps">
          <w:drawing>
            <wp:anchor behindDoc="1" distT="0" distB="0" distL="114935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24205" cy="356870"/>
              <wp:effectExtent l="0" t="0" r="0" b="0"/>
              <wp:wrapNone/>
              <wp:docPr id="5" name="Frame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3568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widowControl w:val="false"/>
                            <w:snapToGrid w:val="false"/>
                            <w:spacing w:lineRule="exact" w:line="560"/>
                            <w:ind w:hanging="0" w:right="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kern w:val="2"/>
                              <w:szCs w:val="28"/>
                              <w:rFonts w:eastAsia="仿宋_GB2312" w:cs="Times New Roman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kern w:val="2"/>
                              <w:szCs w:val="28"/>
                              <w:rFonts w:eastAsia="仿宋_GB2312" w:cs="Times New Roman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kern w:val="2"/>
                              <w:szCs w:val="28"/>
                              <w:rFonts w:eastAsia="仿宋_GB2312" w:cs="Times New Roman"/>
                              <w:lang w:val="en-US" w:eastAsia="zh-CN" w:bidi="ar-SA"/>
                            </w:rPr>
                            <w:t>12</w:t>
                          </w:r>
                          <w:r>
                            <w:rPr>
                              <w:sz w:val="28"/>
                              <w:kern w:val="2"/>
                              <w:szCs w:val="28"/>
                              <w:rFonts w:eastAsia="仿宋_GB2312" w:cs="Times New Roman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eastAsia="Times New Roman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anchor="t" lIns="635" tIns="635" rIns="635" bIns="635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9.15pt;height:28.1pt;mso-wrap-distance-left:9.05pt;mso-wrap-distance-right:0pt;mso-wrap-distance-top:0pt;mso-wrap-distance-bottom:0pt;margin-top:0pt;mso-position-vertical-relative:text;margin-left:9.05pt;mso-position-horizontal:outside;mso-position-horizontal-relative:margin">
              <v:fill opacity="0f"/>
              <v:textbox inset="0.000694444444444445in,0.000694444444444445in,0.000694444444444445in,0.000694444444444445in">
                <w:txbxContent>
                  <w:p>
                    <w:pPr>
                      <w:pStyle w:val="Normal"/>
                      <w:widowControl w:val="false"/>
                      <w:snapToGrid w:val="false"/>
                      <w:spacing w:lineRule="exact" w:line="560"/>
                      <w:ind w:hanging="0" w:right="0"/>
                      <w:jc w:val="left"/>
                      <w:rPr/>
                    </w:pPr>
                    <w:r>
                      <w:rPr>
                        <w:rFonts w:eastAsia="Times New Roman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sz w:val="28"/>
                        <w:kern w:val="2"/>
                        <w:szCs w:val="28"/>
                        <w:rFonts w:eastAsia="仿宋_GB2312" w:cs="Times New Roman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sz w:val="28"/>
                        <w:kern w:val="2"/>
                        <w:szCs w:val="28"/>
                        <w:rFonts w:eastAsia="仿宋_GB2312" w:cs="Times New Roman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sz w:val="28"/>
                        <w:kern w:val="2"/>
                        <w:szCs w:val="28"/>
                        <w:rFonts w:eastAsia="仿宋_GB2312" w:cs="Times New Roman"/>
                        <w:lang w:val="en-US" w:eastAsia="zh-CN" w:bidi="ar-SA"/>
                      </w:rPr>
                      <w:t>12</w:t>
                    </w:r>
                    <w:r>
                      <w:rPr>
                        <w:sz w:val="28"/>
                        <w:kern w:val="2"/>
                        <w:szCs w:val="28"/>
                        <w:rFonts w:eastAsia="仿宋_GB2312" w:cs="Times New Roman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eastAsia="Times New Roman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settings.xml><?xml version="1.0" encoding="utf-8"?>
<w:settings xmlns:w="http://schemas.openxmlformats.org/wordprocessingml/2006/main">
  <w:zoom w:percent="100"/>
  <w:defaultTabStop w:val="420"/>
  <w:autoHyphenation w:val="true"/>
  <w:hyphenationZone w:val="0"/>
  <w:compat>
    <w:noLeading/>
    <w:doNotExpandShiftReturn/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BodyText"/>
    <w:qFormat/>
    <w:pPr>
      <w:widowControl w:val="false"/>
      <w:bidi w:val="0"/>
      <w:spacing w:lineRule="exact" w:line="560"/>
      <w:ind w:firstLine="720" w:left="0" w:right="0"/>
      <w:jc w:val="both"/>
    </w:pPr>
    <w:rPr>
      <w:rFonts w:ascii="Times New Roman" w:hAnsi="Times New Roman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styleId="Style14">
    <w:name w:val="默认段落字体"/>
    <w:qFormat/>
    <w:rPr/>
  </w:style>
  <w:style w:type="character" w:styleId="PageNumber">
    <w:name w:val="page number"/>
    <w:basedOn w:val="Style14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next w:val="Style15"/>
    <w:pPr>
      <w:widowControl w:val="false"/>
      <w:bidi w:val="0"/>
      <w:jc w:val="both"/>
    </w:pPr>
    <w:rPr>
      <w:rFonts w:ascii="Calibri;DejaVu Sans" w:hAnsi="Calibri;DejaVu Sans" w:eastAsia="宋体;方正书宋_GBK" w:cs="Times New Roman"/>
      <w:color w:val="auto"/>
      <w:kern w:val="2"/>
      <w:sz w:val="21"/>
      <w:szCs w:val="24"/>
      <w:lang w:val="en-US" w:eastAsia="zh-CN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tyle15">
    <w:name w:val="正文首行缩进"/>
    <w:next w:val="Normal"/>
    <w:qFormat/>
    <w:pPr>
      <w:widowControl w:val="false"/>
      <w:bidi w:val="0"/>
      <w:spacing w:lineRule="auto" w:line="276" w:before="0" w:after="140"/>
      <w:ind w:firstLine="420" w:left="0" w:right="0"/>
      <w:jc w:val="both"/>
    </w:pPr>
    <w:rPr>
      <w:rFonts w:ascii="Calibri;DejaVu Sans" w:hAnsi="Calibri;DejaVu Sans" w:eastAsia="仿宋_GB2312" w:cs="Times New Roman"/>
      <w:color w:val="auto"/>
      <w:kern w:val="2"/>
      <w:sz w:val="32"/>
      <w:szCs w:val="24"/>
      <w:lang w:val="en-US" w:eastAsia="zh-CN" w:bidi="ar-SA"/>
    </w:rPr>
  </w:style>
  <w:style w:type="paragraph" w:styleId="Style16">
    <w:name w:val="批注框文本"/>
    <w:basedOn w:val="Normal"/>
    <w:qFormat/>
    <w:pPr/>
    <w:rPr>
      <w:sz w:val="18"/>
      <w:szCs w:val="18"/>
    </w:rPr>
  </w:style>
  <w:style w:type="paragraph" w:styleId="HeaderandFooter">
    <w:name w:val="Header and Footer"/>
    <w:basedOn w:val="Normal"/>
    <w:qFormat/>
    <w:pPr>
      <w:suppressLineNumbers/>
      <w:tabs>
        <w:tab w:val="clear" w:pos="4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Style17">
    <w:name w:val="普通(网站)"/>
    <w:qFormat/>
    <w:pPr>
      <w:widowControl w:val="false"/>
      <w:bidi w:val="0"/>
      <w:spacing w:before="100" w:after="100"/>
      <w:ind w:hanging="0" w:left="0" w:right="0"/>
      <w:jc w:val="left"/>
    </w:pPr>
    <w:rPr>
      <w:rFonts w:ascii="Calibri;DejaVu Sans" w:hAnsi="Calibri;DejaVu Sans" w:eastAsia="宋体;方正书宋_GBK" w:cs="Times New Roman"/>
      <w:color w:val="auto"/>
      <w:kern w:val="0"/>
      <w:sz w:val="24"/>
      <w:szCs w:val="24"/>
      <w:lang w:val="en-US" w:eastAsia="zh-CN" w:bidi="ar"/>
    </w:rPr>
  </w:style>
  <w:style w:type="paragraph" w:styleId="TableParagraph">
    <w:name w:val="Table Paragraph"/>
    <w:qFormat/>
    <w:pPr>
      <w:widowControl w:val="false"/>
      <w:bidi w:val="0"/>
      <w:jc w:val="both"/>
    </w:pPr>
    <w:rPr>
      <w:rFonts w:ascii="Calibri;DejaVu Sans" w:hAnsi="Calibri;DejaVu Sans" w:eastAsia="宋体;方正书宋_GBK" w:cs="黑体"/>
      <w:color w:val="auto"/>
      <w:kern w:val="2"/>
      <w:sz w:val="24"/>
      <w:szCs w:val="22"/>
      <w:lang w:val="en-US" w:eastAsia="zh-CN" w:bidi="ar-SA"/>
    </w:rPr>
  </w:style>
  <w:style w:type="paragraph" w:styleId="p0">
    <w:name w:val="p0"/>
    <w:qFormat/>
    <w:pPr>
      <w:widowControl/>
      <w:bidi w:val="0"/>
    </w:pPr>
    <w:rPr>
      <w:rFonts w:ascii="Times New Roman" w:hAnsi="Times New Roman" w:eastAsia="仿宋_GB2312" w:cs="Times New Roman"/>
      <w:color w:val="auto"/>
      <w:kern w:val="0"/>
      <w:sz w:val="28"/>
      <w:szCs w:val="32"/>
      <w:lang w:val="en-US" w:eastAsia="zh-CN" w:bidi="hi-IN"/>
    </w:rPr>
  </w:style>
  <w:style w:type="paragraph" w:styleId="NormalIndent1">
    <w:name w:val="Normal Indent1"/>
    <w:qFormat/>
    <w:pPr>
      <w:widowControl w:val="false"/>
      <w:bidi w:val="0"/>
      <w:spacing w:lineRule="exact" w:line="560"/>
      <w:ind w:firstLine="420" w:left="0" w:right="0"/>
      <w:jc w:val="both"/>
    </w:pPr>
    <w:rPr>
      <w:rFonts w:ascii="Times New Roman" w:hAnsi="Times New Roman" w:eastAsia="宋体;方正书宋_GBK" w:cs="Times New Roman"/>
      <w:color w:val="auto"/>
      <w:kern w:val="2"/>
      <w:sz w:val="32"/>
      <w:szCs w:val="24"/>
      <w:lang w:val="en-US" w:eastAsia="zh-CN" w:bidi="ar-SA"/>
    </w:rPr>
  </w:style>
  <w:style w:type="paragraph" w:styleId="2">
    <w:name w:val="列出段落2"/>
    <w:qFormat/>
    <w:pPr>
      <w:widowControl w:val="false"/>
      <w:bidi w:val="0"/>
      <w:ind w:firstLine="420" w:left="0" w:right="0"/>
      <w:jc w:val="both"/>
    </w:pPr>
    <w:rPr>
      <w:rFonts w:ascii="Calibri;DejaVu Sans" w:hAnsi="Calibri;DejaVu Sans" w:eastAsia="宋体;方正书宋_GBK" w:cs="Times New Roman"/>
      <w:color w:val="auto"/>
      <w:kern w:val="2"/>
      <w:sz w:val="21"/>
      <w:szCs w:val="24"/>
      <w:lang w:val="en-US" w:eastAsia="zh-CN" w:bidi="ar-SA"/>
    </w:rPr>
  </w:style>
  <w:style w:type="paragraph" w:styleId="0">
    <w:name w:val="0"/>
    <w:qFormat/>
    <w:pPr>
      <w:widowControl/>
      <w:bidi w:val="0"/>
      <w:snapToGrid w:val="false"/>
    </w:pPr>
    <w:rPr>
      <w:rFonts w:ascii="Times New Roman" w:hAnsi="Times New Roman" w:eastAsia="仿宋_GB2312" w:cs="Times New Roman"/>
      <w:color w:val="auto"/>
      <w:kern w:val="0"/>
      <w:sz w:val="32"/>
      <w:szCs w:val="21"/>
      <w:lang w:val="en-US" w:eastAsia="zh-CN" w:bidi="hi-IN"/>
    </w:rPr>
  </w:style>
  <w:style w:type="paragraph" w:styleId="1">
    <w:name w:val="正文1"/>
    <w:qFormat/>
    <w:pPr>
      <w:widowControl/>
      <w:bidi w:val="0"/>
      <w:jc w:val="both"/>
    </w:pPr>
    <w:rPr>
      <w:rFonts w:ascii="Times New Roman" w:hAnsi="Times New Roman" w:eastAsia="宋体;方正书宋_GBK" w:cs="Times New Roman"/>
      <w:color w:val="auto"/>
      <w:kern w:val="2"/>
      <w:sz w:val="21"/>
      <w:szCs w:val="21"/>
      <w:lang w:val="en-US" w:eastAsia="zh-CN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17280</TotalTime>
  <Application>LibreOffice/24.8.1.2$Linux_X86_64 LibreOffice_project/87fa9aec1a63e70835390b81c40bb8993f1d4ff6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2010-06-14T15:05:00Z</dcterms:created>
  <dc:creator>周小平</dc:creator>
  <dc:description/>
  <dc:language>en-US</dc:language>
  <cp:lastModifiedBy>uos</cp:lastModifiedBy>
  <cp:lastPrinted>2010-05-02T17:35:00Z</cp:lastPrinted>
  <dcterms:modified xsi:type="dcterms:W3CDTF">2025-02-28T08:39:16Z</dcterms:modified>
  <cp:revision>2</cp:revision>
  <dc:subject/>
  <dc:title>浙经信软件〔2010〕150号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